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12875" w14:textId="605A86AD" w:rsidR="00793586" w:rsidRDefault="00416A73">
      <w:pPr>
        <w:spacing w:after="0"/>
        <w:ind w:right="357"/>
      </w:pPr>
      <w:r>
        <w:rPr>
          <w:sz w:val="28"/>
          <w:szCs w:val="28"/>
        </w:rPr>
        <w:t xml:space="preserve">ENVIRONMENTAL DISPUTE RESOLUTION THROUGH NON-LITIGATION CHANNELS </w:t>
      </w:r>
    </w:p>
    <w:p w14:paraId="5899C720" w14:textId="77777777" w:rsidR="00793586" w:rsidRPr="00CE258B" w:rsidRDefault="00416A73">
      <w:pPr>
        <w:spacing w:after="0" w:line="240" w:lineRule="auto"/>
        <w:ind w:left="709" w:right="357"/>
        <w:rPr>
          <w:b/>
          <w:sz w:val="20"/>
          <w:szCs w:val="20"/>
        </w:rPr>
      </w:pPr>
      <w:r w:rsidRPr="00CE258B">
        <w:rPr>
          <w:b/>
          <w:sz w:val="20"/>
          <w:szCs w:val="20"/>
        </w:rPr>
        <w:t>M. Alip Karisma</w:t>
      </w:r>
      <w:r w:rsidRPr="00CE258B">
        <w:rPr>
          <w:b/>
          <w:sz w:val="20"/>
          <w:szCs w:val="20"/>
          <w:vertAlign w:val="superscript"/>
        </w:rPr>
        <w:t>1</w:t>
      </w:r>
      <w:r w:rsidRPr="00CE258B">
        <w:rPr>
          <w:b/>
          <w:sz w:val="20"/>
          <w:szCs w:val="20"/>
        </w:rPr>
        <w:t>, Neelam Cahya Ningtyas</w:t>
      </w:r>
      <w:r w:rsidRPr="00CE258B">
        <w:rPr>
          <w:b/>
          <w:sz w:val="20"/>
          <w:szCs w:val="20"/>
          <w:vertAlign w:val="superscript"/>
        </w:rPr>
        <w:t>2</w:t>
      </w:r>
      <w:r w:rsidRPr="00CE258B">
        <w:rPr>
          <w:b/>
          <w:sz w:val="20"/>
          <w:szCs w:val="20"/>
        </w:rPr>
        <w:t>, Sari Mulyana Haliva</w:t>
      </w:r>
      <w:r w:rsidRPr="00CE258B">
        <w:rPr>
          <w:b/>
          <w:sz w:val="20"/>
          <w:szCs w:val="20"/>
          <w:vertAlign w:val="superscript"/>
        </w:rPr>
        <w:t>3</w:t>
      </w:r>
      <w:r w:rsidRPr="00CE258B">
        <w:rPr>
          <w:b/>
          <w:sz w:val="20"/>
          <w:szCs w:val="20"/>
        </w:rPr>
        <w:t xml:space="preserve">, </w:t>
      </w:r>
      <w:proofErr w:type="spellStart"/>
      <w:r w:rsidRPr="00CE258B">
        <w:rPr>
          <w:b/>
          <w:sz w:val="20"/>
          <w:szCs w:val="20"/>
        </w:rPr>
        <w:t>Dasma</w:t>
      </w:r>
      <w:proofErr w:type="spellEnd"/>
      <w:r w:rsidRPr="00CE258B">
        <w:rPr>
          <w:b/>
          <w:sz w:val="20"/>
          <w:szCs w:val="20"/>
        </w:rPr>
        <w:t xml:space="preserve"> Anggun Sparingga</w:t>
      </w:r>
      <w:r w:rsidRPr="00CE258B">
        <w:rPr>
          <w:b/>
          <w:sz w:val="20"/>
          <w:szCs w:val="20"/>
          <w:vertAlign w:val="superscript"/>
        </w:rPr>
        <w:t>4</w:t>
      </w:r>
      <w:r w:rsidRPr="00CE258B">
        <w:rPr>
          <w:b/>
          <w:sz w:val="20"/>
          <w:szCs w:val="20"/>
        </w:rPr>
        <w:t xml:space="preserve">, </w:t>
      </w:r>
      <w:proofErr w:type="spellStart"/>
      <w:r w:rsidRPr="00CE258B">
        <w:rPr>
          <w:b/>
          <w:sz w:val="20"/>
          <w:szCs w:val="20"/>
        </w:rPr>
        <w:t>Fanizar</w:t>
      </w:r>
      <w:proofErr w:type="spellEnd"/>
      <w:r w:rsidRPr="00CE258B">
        <w:rPr>
          <w:b/>
          <w:sz w:val="20"/>
          <w:szCs w:val="20"/>
        </w:rPr>
        <w:t xml:space="preserve"> Hakami</w:t>
      </w:r>
      <w:r w:rsidRPr="00CE258B">
        <w:rPr>
          <w:b/>
          <w:sz w:val="20"/>
          <w:szCs w:val="20"/>
          <w:vertAlign w:val="superscript"/>
        </w:rPr>
        <w:t>5</w:t>
      </w:r>
      <w:r w:rsidRPr="00CE258B">
        <w:rPr>
          <w:b/>
          <w:sz w:val="20"/>
          <w:szCs w:val="20"/>
        </w:rPr>
        <w:t>.</w:t>
      </w:r>
    </w:p>
    <w:p w14:paraId="1E79006D" w14:textId="77777777" w:rsidR="00793586" w:rsidRDefault="00416A73">
      <w:pPr>
        <w:spacing w:after="0" w:line="240" w:lineRule="auto"/>
        <w:ind w:left="567" w:right="357"/>
        <w:rPr>
          <w:sz w:val="20"/>
          <w:szCs w:val="20"/>
        </w:rPr>
      </w:pPr>
      <w:r>
        <w:rPr>
          <w:sz w:val="20"/>
          <w:szCs w:val="20"/>
          <w:vertAlign w:val="superscript"/>
        </w:rPr>
        <w:t>1</w:t>
      </w:r>
      <w:r w:rsidRPr="00C26CF5">
        <w:rPr>
          <w:sz w:val="20"/>
          <w:szCs w:val="20"/>
        </w:rPr>
        <w:t>M. Alip Karisma</w:t>
      </w:r>
      <w:r>
        <w:rPr>
          <w:sz w:val="20"/>
          <w:szCs w:val="20"/>
          <w:vertAlign w:val="superscript"/>
        </w:rPr>
        <w:t xml:space="preserve">, </w:t>
      </w:r>
      <w:r>
        <w:rPr>
          <w:sz w:val="20"/>
          <w:szCs w:val="20"/>
        </w:rPr>
        <w:t xml:space="preserve">Faculty of Law, University of Jambi, E-mail: </w:t>
      </w:r>
      <w:hyperlink r:id="rId9">
        <w:r>
          <w:rPr>
            <w:color w:val="0563C1"/>
            <w:sz w:val="20"/>
            <w:szCs w:val="20"/>
            <w:u w:val="single"/>
          </w:rPr>
          <w:t>Karismaalip861@gmail.com</w:t>
        </w:r>
      </w:hyperlink>
      <w:r>
        <w:rPr>
          <w:sz w:val="20"/>
          <w:szCs w:val="20"/>
        </w:rPr>
        <w:t xml:space="preserve"> </w:t>
      </w:r>
    </w:p>
    <w:p w14:paraId="23121B5C" w14:textId="77777777" w:rsidR="00793586" w:rsidRDefault="00416A73">
      <w:pPr>
        <w:spacing w:after="0" w:line="240" w:lineRule="auto"/>
        <w:ind w:left="567" w:right="357"/>
        <w:rPr>
          <w:sz w:val="20"/>
          <w:szCs w:val="20"/>
        </w:rPr>
      </w:pPr>
      <w:r>
        <w:rPr>
          <w:sz w:val="20"/>
          <w:szCs w:val="20"/>
          <w:vertAlign w:val="superscript"/>
        </w:rPr>
        <w:t>2</w:t>
      </w:r>
      <w:r w:rsidRPr="00C26CF5">
        <w:rPr>
          <w:sz w:val="20"/>
          <w:szCs w:val="20"/>
        </w:rPr>
        <w:t xml:space="preserve">Neelam Cahya </w:t>
      </w:r>
      <w:proofErr w:type="spellStart"/>
      <w:r>
        <w:rPr>
          <w:sz w:val="20"/>
          <w:szCs w:val="20"/>
        </w:rPr>
        <w:t>Ningtyas</w:t>
      </w:r>
      <w:proofErr w:type="spellEnd"/>
      <w:r>
        <w:rPr>
          <w:sz w:val="20"/>
          <w:szCs w:val="20"/>
        </w:rPr>
        <w:t xml:space="preserve">, Faculty of Law, University of Jambi, E-mail: </w:t>
      </w:r>
      <w:hyperlink r:id="rId10">
        <w:r>
          <w:rPr>
            <w:color w:val="0563C1"/>
            <w:sz w:val="20"/>
            <w:szCs w:val="20"/>
            <w:u w:val="single"/>
          </w:rPr>
          <w:t>nai.cn02@gmail.com</w:t>
        </w:r>
      </w:hyperlink>
      <w:r>
        <w:rPr>
          <w:sz w:val="20"/>
          <w:szCs w:val="20"/>
        </w:rPr>
        <w:t xml:space="preserve"> </w:t>
      </w:r>
    </w:p>
    <w:p w14:paraId="08B05006" w14:textId="77777777" w:rsidR="00793586" w:rsidRDefault="00416A73">
      <w:pPr>
        <w:spacing w:after="0" w:line="240" w:lineRule="auto"/>
        <w:ind w:left="567" w:right="357"/>
        <w:rPr>
          <w:sz w:val="20"/>
          <w:szCs w:val="20"/>
        </w:rPr>
      </w:pPr>
      <w:r>
        <w:rPr>
          <w:sz w:val="20"/>
          <w:szCs w:val="20"/>
          <w:vertAlign w:val="superscript"/>
        </w:rPr>
        <w:t>3</w:t>
      </w:r>
      <w:r w:rsidRPr="00C26CF5">
        <w:rPr>
          <w:sz w:val="20"/>
          <w:szCs w:val="20"/>
        </w:rPr>
        <w:t xml:space="preserve">Sari Mulyana </w:t>
      </w:r>
      <w:proofErr w:type="spellStart"/>
      <w:r>
        <w:rPr>
          <w:sz w:val="20"/>
          <w:szCs w:val="20"/>
        </w:rPr>
        <w:t>Haliva</w:t>
      </w:r>
      <w:proofErr w:type="spellEnd"/>
      <w:r>
        <w:rPr>
          <w:sz w:val="20"/>
          <w:szCs w:val="20"/>
        </w:rPr>
        <w:t xml:space="preserve">, Faculty of Law, University of Jambi, E-mail: </w:t>
      </w:r>
      <w:hyperlink r:id="rId11">
        <w:r>
          <w:rPr>
            <w:color w:val="0563C1"/>
            <w:sz w:val="20"/>
            <w:szCs w:val="20"/>
            <w:u w:val="single"/>
          </w:rPr>
          <w:t>sarimulyanahaliva@gmail.com</w:t>
        </w:r>
      </w:hyperlink>
      <w:r>
        <w:rPr>
          <w:sz w:val="20"/>
          <w:szCs w:val="20"/>
        </w:rPr>
        <w:t xml:space="preserve"> </w:t>
      </w:r>
    </w:p>
    <w:p w14:paraId="6EFAA11C" w14:textId="77777777" w:rsidR="00793586" w:rsidRDefault="00416A73">
      <w:pPr>
        <w:spacing w:after="0" w:line="240" w:lineRule="auto"/>
        <w:ind w:left="567" w:right="237"/>
        <w:rPr>
          <w:sz w:val="20"/>
          <w:szCs w:val="20"/>
        </w:rPr>
      </w:pPr>
      <w:r>
        <w:rPr>
          <w:sz w:val="20"/>
          <w:szCs w:val="20"/>
          <w:vertAlign w:val="superscript"/>
        </w:rPr>
        <w:t>4</w:t>
      </w:r>
      <w:r w:rsidRPr="00C26CF5">
        <w:rPr>
          <w:sz w:val="20"/>
          <w:szCs w:val="20"/>
        </w:rPr>
        <w:t>Dasma</w:t>
      </w:r>
      <w:r>
        <w:rPr>
          <w:sz w:val="20"/>
          <w:szCs w:val="20"/>
          <w:vertAlign w:val="superscript"/>
        </w:rPr>
        <w:t xml:space="preserve"> </w:t>
      </w:r>
      <w:r w:rsidRPr="00C26CF5">
        <w:rPr>
          <w:sz w:val="20"/>
          <w:szCs w:val="20"/>
        </w:rPr>
        <w:t>Anggun</w:t>
      </w:r>
      <w:r>
        <w:rPr>
          <w:sz w:val="20"/>
          <w:szCs w:val="20"/>
          <w:vertAlign w:val="superscript"/>
        </w:rPr>
        <w:t xml:space="preserve"> </w:t>
      </w:r>
      <w:proofErr w:type="spellStart"/>
      <w:r>
        <w:rPr>
          <w:sz w:val="20"/>
          <w:szCs w:val="20"/>
        </w:rPr>
        <w:t>Sparingga</w:t>
      </w:r>
      <w:proofErr w:type="spellEnd"/>
      <w:r>
        <w:rPr>
          <w:sz w:val="20"/>
          <w:szCs w:val="20"/>
        </w:rPr>
        <w:t xml:space="preserve">, Faculty of Law, University of Jambi, E-mail: </w:t>
      </w:r>
      <w:hyperlink r:id="rId12">
        <w:r>
          <w:rPr>
            <w:color w:val="0563C1"/>
            <w:sz w:val="20"/>
            <w:szCs w:val="20"/>
            <w:u w:val="single"/>
          </w:rPr>
          <w:t>anggunakunoppo@gmail.com</w:t>
        </w:r>
      </w:hyperlink>
      <w:r>
        <w:rPr>
          <w:sz w:val="20"/>
          <w:szCs w:val="20"/>
        </w:rPr>
        <w:t xml:space="preserve">  </w:t>
      </w:r>
    </w:p>
    <w:p w14:paraId="2003B273" w14:textId="77777777" w:rsidR="00793586" w:rsidRDefault="00416A73">
      <w:pPr>
        <w:spacing w:after="0" w:line="240" w:lineRule="auto"/>
        <w:ind w:left="567" w:right="357"/>
        <w:rPr>
          <w:sz w:val="20"/>
          <w:szCs w:val="20"/>
        </w:rPr>
      </w:pPr>
      <w:r>
        <w:rPr>
          <w:sz w:val="20"/>
          <w:szCs w:val="20"/>
          <w:vertAlign w:val="superscript"/>
        </w:rPr>
        <w:t>5</w:t>
      </w:r>
      <w:r w:rsidRPr="00C26CF5">
        <w:rPr>
          <w:sz w:val="20"/>
          <w:szCs w:val="20"/>
        </w:rPr>
        <w:t>Fanizar</w:t>
      </w:r>
      <w:r>
        <w:rPr>
          <w:sz w:val="20"/>
          <w:szCs w:val="20"/>
          <w:vertAlign w:val="superscript"/>
        </w:rPr>
        <w:t xml:space="preserve"> </w:t>
      </w:r>
      <w:r w:rsidRPr="00C26CF5">
        <w:rPr>
          <w:sz w:val="20"/>
          <w:szCs w:val="20"/>
        </w:rPr>
        <w:t>Hakami</w:t>
      </w:r>
      <w:r>
        <w:rPr>
          <w:sz w:val="20"/>
          <w:szCs w:val="20"/>
          <w:vertAlign w:val="superscript"/>
        </w:rPr>
        <w:t xml:space="preserve">, </w:t>
      </w:r>
      <w:r>
        <w:rPr>
          <w:sz w:val="20"/>
          <w:szCs w:val="20"/>
        </w:rPr>
        <w:t xml:space="preserve">Faculty of Law, University of Jambi E-mail: </w:t>
      </w:r>
      <w:hyperlink r:id="rId13">
        <w:r>
          <w:rPr>
            <w:color w:val="0563C1"/>
            <w:sz w:val="20"/>
            <w:szCs w:val="20"/>
            <w:u w:val="single"/>
          </w:rPr>
          <w:t>fanizarhakami149@gmail.com</w:t>
        </w:r>
      </w:hyperlink>
      <w:r>
        <w:rPr>
          <w:sz w:val="20"/>
          <w:szCs w:val="20"/>
        </w:rPr>
        <w:t xml:space="preserve"> </w:t>
      </w:r>
    </w:p>
    <w:p w14:paraId="48E1A23F" w14:textId="77777777" w:rsidR="00793586" w:rsidRDefault="00793586">
      <w:pPr>
        <w:pBdr>
          <w:bottom w:val="single" w:sz="6" w:space="1" w:color="000000"/>
        </w:pBdr>
        <w:spacing w:after="0" w:line="240" w:lineRule="auto"/>
        <w:rPr>
          <w:i/>
          <w:sz w:val="20"/>
          <w:szCs w:val="20"/>
        </w:rPr>
      </w:pPr>
    </w:p>
    <w:p w14:paraId="131A14C5" w14:textId="77777777" w:rsidR="00793586" w:rsidRDefault="00793586">
      <w:pPr>
        <w:spacing w:after="0"/>
        <w:jc w:val="both"/>
        <w:rPr>
          <w:sz w:val="20"/>
          <w:szCs w:val="20"/>
        </w:rPr>
      </w:pPr>
    </w:p>
    <w:p w14:paraId="6A9B80C9" w14:textId="77777777" w:rsidR="00793586" w:rsidRDefault="00416A73">
      <w:pPr>
        <w:spacing w:after="0"/>
        <w:jc w:val="center"/>
        <w:rPr>
          <w:b/>
          <w:sz w:val="20"/>
          <w:szCs w:val="20"/>
        </w:rPr>
      </w:pPr>
      <w:r>
        <w:rPr>
          <w:b/>
          <w:sz w:val="20"/>
          <w:szCs w:val="20"/>
        </w:rPr>
        <w:t>Abstract</w:t>
      </w:r>
    </w:p>
    <w:p w14:paraId="6AA89A33" w14:textId="5D4C450A" w:rsidR="00793586" w:rsidRDefault="002017A9">
      <w:pPr>
        <w:spacing w:after="0"/>
        <w:ind w:left="78" w:right="357"/>
        <w:jc w:val="both"/>
        <w:rPr>
          <w:sz w:val="20"/>
          <w:szCs w:val="20"/>
        </w:rPr>
      </w:pPr>
      <w:r>
        <w:rPr>
          <w:sz w:val="20"/>
          <w:szCs w:val="20"/>
        </w:rPr>
        <w:t>Environmental conservation has now been seen as something that must be considered for people in various regions. This then makes damage to the environment an act that is against the law, so that a claim for rights can be submitted. Discussing the resolution of environmental disputes in a non-litigation manner or outside the court and the procedure for resolving environmental disputes through litigation. Based on the analysis, pollution and environmental damage cause losses for certain parties, such as the community. Dispute resolution outside the court can be pursued through mediation, conciliation or arbitration mechanisms. The natural resource management system implemented by the government so far has caused a number of problems, such as increasing conflicts, environmental damage, and high poverty levels, as well as a lack of attention to the values of local wisdom, the social, economic and cultural system of the local community to overcome these problems.  but also provide adequate justice and settlement. Although often unaware, this mechanism has a legal basis that has been implemented and has the potential to be further developed in the future.</w:t>
      </w:r>
    </w:p>
    <w:p w14:paraId="6130880B" w14:textId="77777777" w:rsidR="00793586" w:rsidRDefault="00793586">
      <w:pPr>
        <w:spacing w:after="0"/>
        <w:jc w:val="both"/>
        <w:rPr>
          <w:sz w:val="20"/>
          <w:szCs w:val="20"/>
        </w:rPr>
      </w:pPr>
    </w:p>
    <w:p w14:paraId="1DDFEEF5" w14:textId="35568276" w:rsidR="00793586" w:rsidRDefault="00416A73">
      <w:pPr>
        <w:spacing w:after="0" w:line="240" w:lineRule="auto"/>
        <w:ind w:left="78" w:right="357"/>
        <w:rPr>
          <w:sz w:val="20"/>
          <w:szCs w:val="20"/>
        </w:rPr>
      </w:pPr>
      <w:r>
        <w:rPr>
          <w:b/>
          <w:sz w:val="20"/>
          <w:szCs w:val="20"/>
        </w:rPr>
        <w:t>Keywords</w:t>
      </w:r>
      <w:r>
        <w:rPr>
          <w:sz w:val="20"/>
          <w:szCs w:val="20"/>
        </w:rPr>
        <w:t xml:space="preserve">: </w:t>
      </w:r>
      <w:r>
        <w:rPr>
          <w:color w:val="231F20"/>
          <w:sz w:val="20"/>
          <w:szCs w:val="20"/>
        </w:rPr>
        <w:t>Resolution</w:t>
      </w:r>
      <w:r w:rsidR="008B34A6">
        <w:rPr>
          <w:color w:val="231F20"/>
          <w:sz w:val="20"/>
          <w:szCs w:val="20"/>
        </w:rPr>
        <w:t>;</w:t>
      </w:r>
      <w:r>
        <w:rPr>
          <w:color w:val="231F20"/>
          <w:sz w:val="20"/>
          <w:szCs w:val="20"/>
        </w:rPr>
        <w:t xml:space="preserve"> Dispute</w:t>
      </w:r>
      <w:r w:rsidR="008B34A6">
        <w:rPr>
          <w:color w:val="231F20"/>
          <w:sz w:val="20"/>
          <w:szCs w:val="20"/>
        </w:rPr>
        <w:t>;</w:t>
      </w:r>
      <w:r>
        <w:rPr>
          <w:color w:val="231F20"/>
          <w:sz w:val="20"/>
          <w:szCs w:val="20"/>
        </w:rPr>
        <w:t xml:space="preserve"> Environment.</w:t>
      </w:r>
    </w:p>
    <w:p w14:paraId="32DEE221" w14:textId="77777777" w:rsidR="00793586" w:rsidRDefault="00793586">
      <w:pPr>
        <w:pBdr>
          <w:bottom w:val="single" w:sz="6" w:space="1" w:color="000000"/>
        </w:pBdr>
        <w:spacing w:after="0" w:line="240" w:lineRule="auto"/>
        <w:jc w:val="both"/>
        <w:rPr>
          <w:sz w:val="20"/>
          <w:szCs w:val="20"/>
        </w:rPr>
      </w:pPr>
    </w:p>
    <w:p w14:paraId="2B95DD83" w14:textId="77777777" w:rsidR="00793586" w:rsidRDefault="00793586">
      <w:pPr>
        <w:spacing w:after="0"/>
        <w:jc w:val="both"/>
        <w:rPr>
          <w:sz w:val="20"/>
          <w:szCs w:val="20"/>
        </w:rPr>
      </w:pPr>
    </w:p>
    <w:p w14:paraId="4B4F95F8" w14:textId="77777777" w:rsidR="008F4C48" w:rsidRDefault="00416A73" w:rsidP="008F4C48">
      <w:pPr>
        <w:numPr>
          <w:ilvl w:val="0"/>
          <w:numId w:val="3"/>
        </w:numPr>
        <w:pBdr>
          <w:top w:val="nil"/>
          <w:left w:val="nil"/>
          <w:bottom w:val="nil"/>
          <w:right w:val="nil"/>
          <w:between w:val="nil"/>
        </w:pBdr>
        <w:spacing w:after="0"/>
        <w:ind w:left="284" w:hanging="284"/>
        <w:jc w:val="both"/>
        <w:rPr>
          <w:b/>
          <w:color w:val="538135"/>
          <w:sz w:val="28"/>
          <w:szCs w:val="28"/>
        </w:rPr>
      </w:pPr>
      <w:r>
        <w:rPr>
          <w:b/>
          <w:color w:val="538135"/>
          <w:sz w:val="28"/>
          <w:szCs w:val="28"/>
        </w:rPr>
        <w:t>Introduction</w:t>
      </w:r>
    </w:p>
    <w:p w14:paraId="0FEA3CF1" w14:textId="392DE9DC" w:rsidR="008F4C48" w:rsidRDefault="00416A73" w:rsidP="008F4C48">
      <w:pPr>
        <w:pBdr>
          <w:top w:val="nil"/>
          <w:left w:val="nil"/>
          <w:bottom w:val="nil"/>
          <w:right w:val="nil"/>
          <w:between w:val="nil"/>
        </w:pBdr>
        <w:spacing w:after="0"/>
        <w:jc w:val="both"/>
        <w:rPr>
          <w:b/>
          <w:color w:val="538135"/>
          <w:sz w:val="28"/>
          <w:szCs w:val="28"/>
        </w:rPr>
      </w:pPr>
      <w:r w:rsidRPr="008F4C48">
        <w:rPr>
          <w:sz w:val="24"/>
          <w:szCs w:val="24"/>
        </w:rPr>
        <w:t>Indonesia, society as a diverse entity often faces differences that can create tension or conflict. Competition for control of natural, economic, social, and political resources can arise suddenly and potentially trigger serious conflicts. The approach chosen by the government in managing natural resources in the mining sector has raised a number of problems, such as increased conflicts, environmental degradation, and high levels of persistent poverty. In addition, this method is considered to override the values, social, economic, and cultural structures that are an important part of the local community.</w:t>
      </w:r>
    </w:p>
    <w:p w14:paraId="17A7E4C5" w14:textId="77777777" w:rsidR="008F4C48" w:rsidRDefault="008F4C48" w:rsidP="008F4C48">
      <w:pPr>
        <w:pBdr>
          <w:top w:val="nil"/>
          <w:left w:val="nil"/>
          <w:bottom w:val="nil"/>
          <w:right w:val="nil"/>
          <w:between w:val="nil"/>
        </w:pBdr>
        <w:spacing w:after="0"/>
        <w:jc w:val="both"/>
        <w:rPr>
          <w:sz w:val="24"/>
          <w:szCs w:val="24"/>
        </w:rPr>
      </w:pPr>
    </w:p>
    <w:p w14:paraId="6D31608D" w14:textId="13B16622" w:rsidR="008F4C48" w:rsidRDefault="00416A73" w:rsidP="008F4C48">
      <w:pPr>
        <w:pBdr>
          <w:top w:val="nil"/>
          <w:left w:val="nil"/>
          <w:bottom w:val="nil"/>
          <w:right w:val="nil"/>
          <w:between w:val="nil"/>
        </w:pBdr>
        <w:spacing w:after="0"/>
        <w:jc w:val="both"/>
        <w:rPr>
          <w:b/>
          <w:color w:val="538135"/>
          <w:sz w:val="28"/>
          <w:szCs w:val="28"/>
        </w:rPr>
      </w:pPr>
      <w:r>
        <w:rPr>
          <w:sz w:val="24"/>
          <w:szCs w:val="24"/>
        </w:rPr>
        <w:t xml:space="preserve">which is the same as realizing the Unitary State of the Republic of Indonesia (NKRI). This must be measured in every decision made by the government in the context of the life of the nation and the state, and must be in accordance with the values of the state's objectives, which are stated in the fourth paragraph of the 1945 Constitution, namely the internal and external goals of the state, which will ultimately result in a united state. Based on Pancasila and the </w:t>
      </w:r>
      <w:r>
        <w:rPr>
          <w:sz w:val="24"/>
          <w:szCs w:val="24"/>
        </w:rPr>
        <w:lastRenderedPageBreak/>
        <w:t>1945 Constitution.</w:t>
      </w:r>
      <w:r>
        <w:rPr>
          <w:sz w:val="24"/>
          <w:szCs w:val="24"/>
          <w:vertAlign w:val="superscript"/>
        </w:rPr>
        <w:footnoteReference w:id="1"/>
      </w:r>
      <w:r>
        <w:t xml:space="preserve"> </w:t>
      </w:r>
      <w:r>
        <w:rPr>
          <w:sz w:val="24"/>
          <w:szCs w:val="24"/>
        </w:rPr>
        <w:t xml:space="preserve">The law should not be a source of depression; rather, the law has an obligation to look for its positive </w:t>
      </w:r>
      <w:r>
        <w:rPr>
          <w:i/>
          <w:sz w:val="24"/>
          <w:szCs w:val="24"/>
        </w:rPr>
        <w:t xml:space="preserve">side (Silver Lining), </w:t>
      </w:r>
      <w:r>
        <w:rPr>
          <w:sz w:val="24"/>
          <w:szCs w:val="24"/>
        </w:rPr>
        <w:t xml:space="preserve">because every individual has a responsibility to maximize the situation, said </w:t>
      </w:r>
      <w:proofErr w:type="spellStart"/>
      <w:r>
        <w:rPr>
          <w:sz w:val="24"/>
          <w:szCs w:val="24"/>
        </w:rPr>
        <w:t>Sunaryati</w:t>
      </w:r>
      <w:proofErr w:type="spellEnd"/>
      <w:r>
        <w:rPr>
          <w:sz w:val="24"/>
          <w:szCs w:val="24"/>
        </w:rPr>
        <w:t xml:space="preserve"> Hartono, who called for justice in this country. The main goal of development should be to accommodate the interests of human dignity and community welfare. There must not be in the law an activity carried out by one group (legal subject) that harms, hurts, or tortures another group. True development is considered a failure when inequality, crime increases, corruption is rampant, and poverty is still a very pronounced problem in the development process itself.</w:t>
      </w:r>
      <w:r>
        <w:rPr>
          <w:sz w:val="24"/>
          <w:szCs w:val="24"/>
          <w:vertAlign w:val="superscript"/>
        </w:rPr>
        <w:footnoteReference w:id="2"/>
      </w:r>
    </w:p>
    <w:p w14:paraId="546722DD" w14:textId="77777777" w:rsidR="008F4C48" w:rsidRDefault="008F4C48" w:rsidP="008F4C48">
      <w:pPr>
        <w:pBdr>
          <w:top w:val="nil"/>
          <w:left w:val="nil"/>
          <w:bottom w:val="nil"/>
          <w:right w:val="nil"/>
          <w:between w:val="nil"/>
        </w:pBdr>
        <w:spacing w:after="0"/>
        <w:jc w:val="both"/>
        <w:rPr>
          <w:b/>
          <w:color w:val="538135"/>
          <w:sz w:val="28"/>
          <w:szCs w:val="28"/>
        </w:rPr>
      </w:pPr>
    </w:p>
    <w:p w14:paraId="49E3DA58" w14:textId="77777777" w:rsidR="008F4C48" w:rsidRDefault="00416A73" w:rsidP="008F4C48">
      <w:pPr>
        <w:pBdr>
          <w:top w:val="nil"/>
          <w:left w:val="nil"/>
          <w:bottom w:val="nil"/>
          <w:right w:val="nil"/>
          <w:between w:val="nil"/>
        </w:pBdr>
        <w:spacing w:after="0"/>
        <w:jc w:val="both"/>
        <w:rPr>
          <w:b/>
          <w:color w:val="538135"/>
          <w:sz w:val="28"/>
          <w:szCs w:val="28"/>
        </w:rPr>
      </w:pPr>
      <w:r>
        <w:rPr>
          <w:sz w:val="24"/>
          <w:szCs w:val="24"/>
        </w:rPr>
        <w:t>In dealing with environmental conflicts arising from environmental exploitation activities, often the main option is through litigation in court. However, settlement through the judicial process has several drawbacks, such as its complexity, long required time, and high cost. In addition, there is a need to have an alternative dispute resolution system because court decisions do not always meet justice for one party.</w:t>
      </w:r>
    </w:p>
    <w:p w14:paraId="3422769D" w14:textId="77777777" w:rsidR="008F4C48" w:rsidRDefault="008F4C48" w:rsidP="008F4C48">
      <w:pPr>
        <w:pBdr>
          <w:top w:val="nil"/>
          <w:left w:val="nil"/>
          <w:bottom w:val="nil"/>
          <w:right w:val="nil"/>
          <w:between w:val="nil"/>
        </w:pBdr>
        <w:spacing w:after="0"/>
        <w:jc w:val="both"/>
        <w:rPr>
          <w:b/>
          <w:color w:val="538135"/>
          <w:sz w:val="28"/>
          <w:szCs w:val="28"/>
        </w:rPr>
      </w:pPr>
    </w:p>
    <w:p w14:paraId="3A14B13C" w14:textId="77777777" w:rsidR="008F4C48" w:rsidRDefault="00416A73" w:rsidP="008F4C48">
      <w:pPr>
        <w:pBdr>
          <w:top w:val="nil"/>
          <w:left w:val="nil"/>
          <w:bottom w:val="nil"/>
          <w:right w:val="nil"/>
          <w:between w:val="nil"/>
        </w:pBdr>
        <w:spacing w:after="0"/>
        <w:jc w:val="both"/>
        <w:rPr>
          <w:b/>
          <w:color w:val="538135"/>
          <w:sz w:val="28"/>
          <w:szCs w:val="28"/>
        </w:rPr>
      </w:pPr>
      <w:r>
        <w:rPr>
          <w:sz w:val="24"/>
          <w:szCs w:val="24"/>
        </w:rPr>
        <w:t>Mediation is a significant option in resolving conflicts, especially in reducing the number of cases that accumulate. With a mediation approach, both parties can resolve disputes without having to rely on the judicial process. This can reduce the court's workload by reducing the number of cases that must be handled by judges or prosecutors.</w:t>
      </w:r>
      <w:r w:rsidRPr="00BD7C56">
        <w:rPr>
          <w:sz w:val="24"/>
          <w:szCs w:val="24"/>
          <w:vertAlign w:val="superscript"/>
        </w:rPr>
        <w:footnoteReference w:id="3"/>
      </w:r>
      <w:r w:rsidRPr="00BD7C56">
        <w:rPr>
          <w:sz w:val="24"/>
          <w:szCs w:val="24"/>
        </w:rPr>
        <w:t xml:space="preserve"> Employers and workers often overlook the impact of environmental activities, especially when the location is close to residential areas. More seriously, some businessmen were involved in fraud against citizens, which led to sporadic protests from the public. Mining uses a deep exploration method that leaves used land with uneven topography, which negatively impacts the environment and triggers conflicts between residents.</w:t>
      </w:r>
      <w:r w:rsidRPr="00BD7C56">
        <w:rPr>
          <w:sz w:val="24"/>
          <w:szCs w:val="24"/>
          <w:vertAlign w:val="superscript"/>
        </w:rPr>
        <w:footnoteReference w:id="4"/>
      </w:r>
    </w:p>
    <w:p w14:paraId="2168A1B0" w14:textId="77777777" w:rsidR="008F4C48" w:rsidRDefault="008F4C48" w:rsidP="008F4C48">
      <w:pPr>
        <w:pBdr>
          <w:top w:val="nil"/>
          <w:left w:val="nil"/>
          <w:bottom w:val="nil"/>
          <w:right w:val="nil"/>
          <w:between w:val="nil"/>
        </w:pBdr>
        <w:spacing w:after="0"/>
        <w:jc w:val="both"/>
        <w:rPr>
          <w:b/>
          <w:color w:val="538135"/>
          <w:sz w:val="28"/>
          <w:szCs w:val="28"/>
        </w:rPr>
      </w:pPr>
    </w:p>
    <w:p w14:paraId="4B7FB0D9" w14:textId="77777777" w:rsidR="008F4C48" w:rsidRDefault="00416A73" w:rsidP="008F4C48">
      <w:pPr>
        <w:pBdr>
          <w:top w:val="nil"/>
          <w:left w:val="nil"/>
          <w:bottom w:val="nil"/>
          <w:right w:val="nil"/>
          <w:between w:val="nil"/>
        </w:pBdr>
        <w:spacing w:after="0"/>
        <w:jc w:val="both"/>
        <w:rPr>
          <w:b/>
          <w:color w:val="538135"/>
          <w:sz w:val="28"/>
          <w:szCs w:val="28"/>
        </w:rPr>
      </w:pPr>
      <w:r>
        <w:rPr>
          <w:sz w:val="24"/>
          <w:szCs w:val="24"/>
        </w:rPr>
        <w:t>In this situation, an alternative dispute resolution system is needed that is not only fixated on a legal system that has limited capacity, but can also provide justice and solutions to problems that arise. Although not many people realize it, this mechanism actually has a legal basis, there are already examples of its practice in Indonesia, and it has great potential to be further developed in this country.</w:t>
      </w:r>
    </w:p>
    <w:p w14:paraId="13F1E0B6" w14:textId="77777777" w:rsidR="008F4C48" w:rsidRDefault="008F4C48" w:rsidP="008F4C48">
      <w:pPr>
        <w:pBdr>
          <w:top w:val="nil"/>
          <w:left w:val="nil"/>
          <w:bottom w:val="nil"/>
          <w:right w:val="nil"/>
          <w:between w:val="nil"/>
        </w:pBdr>
        <w:spacing w:after="0"/>
        <w:jc w:val="both"/>
        <w:rPr>
          <w:b/>
          <w:color w:val="538135"/>
          <w:sz w:val="28"/>
          <w:szCs w:val="28"/>
        </w:rPr>
      </w:pPr>
    </w:p>
    <w:p w14:paraId="35500F47" w14:textId="77777777" w:rsidR="008F4C48" w:rsidRDefault="00416A73" w:rsidP="008F4C48">
      <w:pPr>
        <w:pBdr>
          <w:top w:val="nil"/>
          <w:left w:val="nil"/>
          <w:bottom w:val="nil"/>
          <w:right w:val="nil"/>
          <w:between w:val="nil"/>
        </w:pBdr>
        <w:spacing w:after="0"/>
        <w:jc w:val="both"/>
        <w:rPr>
          <w:b/>
          <w:color w:val="538135"/>
          <w:sz w:val="28"/>
          <w:szCs w:val="28"/>
        </w:rPr>
      </w:pPr>
      <w:r>
        <w:rPr>
          <w:sz w:val="24"/>
          <w:szCs w:val="24"/>
        </w:rPr>
        <w:t xml:space="preserve">Alternative dispute resolution or ADR methods, such as negotiation, mediation, and arbitration, are applied outside the court system because they are considered more efficient, </w:t>
      </w:r>
      <w:r>
        <w:rPr>
          <w:sz w:val="24"/>
          <w:szCs w:val="24"/>
        </w:rPr>
        <w:lastRenderedPageBreak/>
        <w:t>faster, and cost-effective than litigation. ADR also allows the parties involved to reach a beneficial and sustainable agreement. However, there are still many obstacles that hinder the use of ADR in resolving environmental disputes arising from mining activities. A thorough evaluation is necessary to identify weaknesses in litigation, assess the potential for ADR, and design a fair and effective dispute resolution model. These challenges arise due to the imbalance of power between companies and society, as well as a lack of understanding of the rights and responsibilities of the parties involved.</w:t>
      </w:r>
    </w:p>
    <w:p w14:paraId="160235D9" w14:textId="77777777" w:rsidR="008F4C48" w:rsidRDefault="008F4C48" w:rsidP="008F4C48">
      <w:pPr>
        <w:pBdr>
          <w:top w:val="nil"/>
          <w:left w:val="nil"/>
          <w:bottom w:val="nil"/>
          <w:right w:val="nil"/>
          <w:between w:val="nil"/>
        </w:pBdr>
        <w:spacing w:after="0"/>
        <w:jc w:val="both"/>
        <w:rPr>
          <w:b/>
          <w:color w:val="538135"/>
          <w:sz w:val="28"/>
          <w:szCs w:val="28"/>
        </w:rPr>
      </w:pPr>
    </w:p>
    <w:p w14:paraId="53AD4AEF" w14:textId="5B66E8EA" w:rsidR="00793586" w:rsidRPr="008F4C48" w:rsidRDefault="00416A73" w:rsidP="008F4C48">
      <w:pPr>
        <w:pBdr>
          <w:top w:val="nil"/>
          <w:left w:val="nil"/>
          <w:bottom w:val="nil"/>
          <w:right w:val="nil"/>
          <w:between w:val="nil"/>
        </w:pBdr>
        <w:spacing w:after="0"/>
        <w:jc w:val="both"/>
        <w:rPr>
          <w:b/>
          <w:color w:val="538135"/>
          <w:sz w:val="28"/>
          <w:szCs w:val="28"/>
        </w:rPr>
      </w:pPr>
      <w:r>
        <w:rPr>
          <w:sz w:val="24"/>
          <w:szCs w:val="24"/>
        </w:rPr>
        <w:t>This study aims to: (1) evaluate the weaknesses and shortcomings of the environmental dispute resolution process through the courts; (2) investigating various alternative methods of resolving environmental disputes outside the courts; and (3) develop an effective alternative mechanism model to deal with environmental disputes arising from the exploitation of natural resources. By using a normative juridical approach, this research is expected to make an important contribution, both in academic and practical aspects, to achieve fair, effective, and sustainable settlement of environmental disputes.</w:t>
      </w:r>
    </w:p>
    <w:p w14:paraId="3A209834" w14:textId="77777777" w:rsidR="00793586" w:rsidRDefault="00416A73">
      <w:pPr>
        <w:numPr>
          <w:ilvl w:val="0"/>
          <w:numId w:val="3"/>
        </w:numPr>
        <w:pBdr>
          <w:top w:val="nil"/>
          <w:left w:val="nil"/>
          <w:bottom w:val="nil"/>
          <w:right w:val="nil"/>
          <w:between w:val="nil"/>
        </w:pBdr>
        <w:spacing w:before="240" w:after="0"/>
        <w:ind w:left="284" w:hanging="284"/>
        <w:jc w:val="both"/>
        <w:rPr>
          <w:b/>
          <w:color w:val="538135"/>
          <w:sz w:val="28"/>
          <w:szCs w:val="28"/>
        </w:rPr>
      </w:pPr>
      <w:r>
        <w:rPr>
          <w:b/>
          <w:color w:val="538135"/>
          <w:sz w:val="28"/>
          <w:szCs w:val="28"/>
        </w:rPr>
        <w:t>Research Methods</w:t>
      </w:r>
    </w:p>
    <w:p w14:paraId="0F7BDEFB" w14:textId="1FA07FBF" w:rsidR="00793586" w:rsidRDefault="00416A73" w:rsidP="008F4C48">
      <w:pPr>
        <w:jc w:val="both"/>
        <w:rPr>
          <w:sz w:val="24"/>
          <w:szCs w:val="24"/>
        </w:rPr>
      </w:pPr>
      <w:r>
        <w:rPr>
          <w:sz w:val="24"/>
          <w:szCs w:val="24"/>
        </w:rPr>
        <w:t xml:space="preserve">This research is </w:t>
      </w:r>
      <w:proofErr w:type="gramStart"/>
      <w:r>
        <w:rPr>
          <w:sz w:val="24"/>
          <w:szCs w:val="24"/>
        </w:rPr>
        <w:t>a</w:t>
      </w:r>
      <w:r w:rsidR="00126903">
        <w:rPr>
          <w:sz w:val="24"/>
          <w:szCs w:val="24"/>
        </w:rPr>
        <w:t xml:space="preserve"> </w:t>
      </w:r>
      <w:r>
        <w:rPr>
          <w:sz w:val="24"/>
          <w:szCs w:val="24"/>
        </w:rPr>
        <w:t>normative</w:t>
      </w:r>
      <w:r w:rsidR="00126903">
        <w:rPr>
          <w:sz w:val="24"/>
          <w:szCs w:val="24"/>
        </w:rPr>
        <w:t xml:space="preserve"> </w:t>
      </w:r>
      <w:r>
        <w:rPr>
          <w:sz w:val="24"/>
          <w:szCs w:val="24"/>
        </w:rPr>
        <w:t>legal research</w:t>
      </w:r>
      <w:proofErr w:type="gramEnd"/>
      <w:r>
        <w:rPr>
          <w:sz w:val="24"/>
          <w:szCs w:val="24"/>
        </w:rPr>
        <w:t xml:space="preserve"> that uses a literature study method, with law considered as a norm system.</w:t>
      </w:r>
      <w:r>
        <w:rPr>
          <w:sz w:val="24"/>
          <w:szCs w:val="24"/>
          <w:vertAlign w:val="superscript"/>
        </w:rPr>
        <w:footnoteReference w:id="5"/>
      </w:r>
      <w:r>
        <w:rPr>
          <w:sz w:val="24"/>
          <w:szCs w:val="24"/>
        </w:rPr>
        <w:t xml:space="preserve"> The main sources of this research are laws and regulations and literature such as books or articles related to the object of research. This normative legal approach is used to find an effective alternative mechanism in dealing with environmental disputes that arise due to exploitation.</w:t>
      </w:r>
    </w:p>
    <w:p w14:paraId="1E25FFBA" w14:textId="77777777" w:rsidR="00793586" w:rsidRDefault="00416A73">
      <w:pPr>
        <w:numPr>
          <w:ilvl w:val="0"/>
          <w:numId w:val="3"/>
        </w:numPr>
        <w:pBdr>
          <w:top w:val="nil"/>
          <w:left w:val="nil"/>
          <w:bottom w:val="nil"/>
          <w:right w:val="nil"/>
          <w:between w:val="nil"/>
        </w:pBdr>
        <w:spacing w:before="240" w:after="0"/>
        <w:ind w:left="284" w:hanging="284"/>
        <w:jc w:val="both"/>
        <w:rPr>
          <w:b/>
          <w:color w:val="538135"/>
          <w:sz w:val="28"/>
          <w:szCs w:val="28"/>
        </w:rPr>
      </w:pPr>
      <w:r>
        <w:rPr>
          <w:b/>
          <w:color w:val="538135"/>
          <w:sz w:val="28"/>
          <w:szCs w:val="28"/>
        </w:rPr>
        <w:t>Discussion</w:t>
      </w:r>
    </w:p>
    <w:p w14:paraId="116F0711" w14:textId="312BB98D" w:rsidR="00786C4C" w:rsidRDefault="00416A73">
      <w:pPr>
        <w:tabs>
          <w:tab w:val="left" w:pos="709"/>
          <w:tab w:val="left" w:pos="851"/>
          <w:tab w:val="left" w:pos="993"/>
        </w:tabs>
        <w:spacing w:after="0" w:line="240" w:lineRule="auto"/>
        <w:jc w:val="both"/>
        <w:rPr>
          <w:sz w:val="24"/>
          <w:szCs w:val="24"/>
        </w:rPr>
      </w:pPr>
      <w:r>
        <w:rPr>
          <w:sz w:val="24"/>
          <w:szCs w:val="24"/>
        </w:rPr>
        <w:t>Alternative Dispute Resolution (ADR) is often referred to as a substitute for litigation and an alternative to adjudication. Choosing one of those definitions will have different consequences. If ADR is considered an alternative to litigation, then it is one of the out-of-court dispute resolution methods that takes into account its efficiency and provides benefits to the disputing parties in the future period. However, if ADR is understood as an alternative to conflict resolution, it can include a variety of dispute resolution methods that are consensual in nature such as negotiation, mediation, and conciliation. From an anthropological perspective, each member of a community has its own systems and procedures for resolving conflicts. In the environment of Indonesian people living in rural areas, which are often indigenous peoples, it is rare for disputes between them to be resolved through the state court process.</w:t>
      </w:r>
      <w:r>
        <w:rPr>
          <w:sz w:val="24"/>
          <w:szCs w:val="24"/>
          <w:vertAlign w:val="superscript"/>
        </w:rPr>
        <w:footnoteReference w:id="6"/>
      </w:r>
      <w:r>
        <w:rPr>
          <w:sz w:val="24"/>
          <w:szCs w:val="24"/>
        </w:rPr>
        <w:t xml:space="preserve"> In general, conflicts in the field of the environment can be classified into the following five forms:</w:t>
      </w:r>
    </w:p>
    <w:p w14:paraId="05A6DCF0" w14:textId="77777777" w:rsidR="00690655" w:rsidRPr="00786C4C" w:rsidRDefault="00690655" w:rsidP="00690655">
      <w:pPr>
        <w:jc w:val="both"/>
        <w:rPr>
          <w:sz w:val="24"/>
          <w:szCs w:val="24"/>
        </w:rPr>
      </w:pPr>
      <w:r w:rsidRPr="00786C4C">
        <w:rPr>
          <w:sz w:val="24"/>
          <w:szCs w:val="24"/>
        </w:rPr>
        <w:t>1. Destructive Conflicts</w:t>
      </w:r>
    </w:p>
    <w:p w14:paraId="342A583E" w14:textId="77777777" w:rsidR="00CE258B" w:rsidRDefault="00690655" w:rsidP="00690655">
      <w:pPr>
        <w:pStyle w:val="DaftarParagraf"/>
        <w:numPr>
          <w:ilvl w:val="0"/>
          <w:numId w:val="6"/>
        </w:numPr>
        <w:spacing w:after="0"/>
        <w:jc w:val="both"/>
        <w:rPr>
          <w:sz w:val="24"/>
          <w:szCs w:val="24"/>
        </w:rPr>
      </w:pPr>
      <w:proofErr w:type="spellStart"/>
      <w:r w:rsidRPr="00CE258B">
        <w:rPr>
          <w:sz w:val="24"/>
          <w:szCs w:val="24"/>
        </w:rPr>
        <w:t>Lumajang</w:t>
      </w:r>
      <w:proofErr w:type="spellEnd"/>
      <w:r w:rsidRPr="00CE258B">
        <w:rPr>
          <w:sz w:val="24"/>
          <w:szCs w:val="24"/>
        </w:rPr>
        <w:t xml:space="preserve">: Destructive conflicts in </w:t>
      </w:r>
      <w:proofErr w:type="spellStart"/>
      <w:r w:rsidRPr="00CE258B">
        <w:rPr>
          <w:sz w:val="24"/>
          <w:szCs w:val="24"/>
        </w:rPr>
        <w:t>Lumajang</w:t>
      </w:r>
      <w:proofErr w:type="spellEnd"/>
      <w:r w:rsidRPr="00CE258B">
        <w:rPr>
          <w:sz w:val="24"/>
          <w:szCs w:val="24"/>
        </w:rPr>
        <w:t xml:space="preserve"> arise due to negative feelings such as dissatisfaction and grudges between local miners and mining entrepreneurs. Local miners often report their peers to the authorities as a form of competition.</w:t>
      </w:r>
    </w:p>
    <w:p w14:paraId="10217789" w14:textId="6EAE6A21" w:rsidR="00690655" w:rsidRPr="00CE258B" w:rsidRDefault="00690655" w:rsidP="00690655">
      <w:pPr>
        <w:pStyle w:val="DaftarParagraf"/>
        <w:numPr>
          <w:ilvl w:val="0"/>
          <w:numId w:val="6"/>
        </w:numPr>
        <w:spacing w:after="0"/>
        <w:jc w:val="both"/>
        <w:rPr>
          <w:sz w:val="24"/>
          <w:szCs w:val="24"/>
        </w:rPr>
      </w:pPr>
      <w:r w:rsidRPr="00CE258B">
        <w:rPr>
          <w:sz w:val="24"/>
          <w:szCs w:val="24"/>
        </w:rPr>
        <w:lastRenderedPageBreak/>
        <w:t>Surabaya: The destructive conflict in the case of the Surabaya River is more visible in terms of public dissatisfaction with the government which is considered incapable of maintaining the quality of river water.</w:t>
      </w:r>
    </w:p>
    <w:p w14:paraId="6EF37FAF" w14:textId="77777777" w:rsidR="00690655" w:rsidRPr="00786C4C" w:rsidRDefault="00690655" w:rsidP="00690655">
      <w:pPr>
        <w:jc w:val="both"/>
        <w:rPr>
          <w:sz w:val="24"/>
          <w:szCs w:val="24"/>
        </w:rPr>
      </w:pPr>
      <w:r w:rsidRPr="00786C4C">
        <w:rPr>
          <w:sz w:val="24"/>
          <w:szCs w:val="24"/>
        </w:rPr>
        <w:t>2. Constructive Conflict</w:t>
      </w:r>
    </w:p>
    <w:p w14:paraId="42582268" w14:textId="77777777" w:rsidR="00CE258B" w:rsidRDefault="00690655" w:rsidP="00690655">
      <w:pPr>
        <w:pStyle w:val="DaftarParagraf"/>
        <w:numPr>
          <w:ilvl w:val="0"/>
          <w:numId w:val="7"/>
        </w:numPr>
        <w:spacing w:after="0"/>
        <w:jc w:val="both"/>
        <w:rPr>
          <w:sz w:val="24"/>
          <w:szCs w:val="24"/>
        </w:rPr>
      </w:pPr>
      <w:proofErr w:type="spellStart"/>
      <w:r w:rsidRPr="00CE258B">
        <w:rPr>
          <w:sz w:val="24"/>
          <w:szCs w:val="24"/>
        </w:rPr>
        <w:t>Lumajang</w:t>
      </w:r>
      <w:proofErr w:type="spellEnd"/>
      <w:r w:rsidRPr="00CE258B">
        <w:rPr>
          <w:sz w:val="24"/>
          <w:szCs w:val="24"/>
        </w:rPr>
        <w:t>: People often protest illegal mining activities that are considered to threaten social stability, more than just the economic value produced. This has the potential to generate consensus for regulatory improvements.</w:t>
      </w:r>
    </w:p>
    <w:p w14:paraId="3ECC3C61" w14:textId="4B16BCDC" w:rsidR="00690655" w:rsidRPr="00CE258B" w:rsidRDefault="00690655" w:rsidP="00690655">
      <w:pPr>
        <w:pStyle w:val="DaftarParagraf"/>
        <w:numPr>
          <w:ilvl w:val="0"/>
          <w:numId w:val="7"/>
        </w:numPr>
        <w:spacing w:after="0"/>
        <w:jc w:val="both"/>
        <w:rPr>
          <w:sz w:val="24"/>
          <w:szCs w:val="24"/>
        </w:rPr>
      </w:pPr>
      <w:r w:rsidRPr="00CE258B">
        <w:rPr>
          <w:sz w:val="24"/>
          <w:szCs w:val="24"/>
        </w:rPr>
        <w:t xml:space="preserve">Surabaya: </w:t>
      </w:r>
      <w:proofErr w:type="spellStart"/>
      <w:r w:rsidRPr="00CE258B">
        <w:rPr>
          <w:sz w:val="24"/>
          <w:szCs w:val="24"/>
        </w:rPr>
        <w:t>Ecoton</w:t>
      </w:r>
      <w:proofErr w:type="spellEnd"/>
      <w:r w:rsidRPr="00CE258B">
        <w:rPr>
          <w:sz w:val="24"/>
          <w:szCs w:val="24"/>
        </w:rPr>
        <w:t xml:space="preserve"> uses constructive conflict through a lawsuit against the East Java Provincial Government, which resulted in a peace deed and the government's commitment to meet environmental demands.</w:t>
      </w:r>
    </w:p>
    <w:p w14:paraId="3C3531C6" w14:textId="77777777" w:rsidR="00690655" w:rsidRPr="00786C4C" w:rsidRDefault="00690655" w:rsidP="00690655">
      <w:pPr>
        <w:jc w:val="both"/>
        <w:rPr>
          <w:sz w:val="24"/>
          <w:szCs w:val="24"/>
        </w:rPr>
      </w:pPr>
      <w:r w:rsidRPr="00786C4C">
        <w:rPr>
          <w:sz w:val="24"/>
          <w:szCs w:val="24"/>
        </w:rPr>
        <w:t>3. Vertical Disputes</w:t>
      </w:r>
    </w:p>
    <w:p w14:paraId="62BD9A85" w14:textId="77777777" w:rsidR="00CE258B" w:rsidRDefault="00690655" w:rsidP="00690655">
      <w:pPr>
        <w:pStyle w:val="DaftarParagraf"/>
        <w:numPr>
          <w:ilvl w:val="0"/>
          <w:numId w:val="8"/>
        </w:numPr>
        <w:spacing w:after="0"/>
        <w:jc w:val="both"/>
        <w:rPr>
          <w:sz w:val="24"/>
          <w:szCs w:val="24"/>
        </w:rPr>
      </w:pPr>
      <w:proofErr w:type="spellStart"/>
      <w:r w:rsidRPr="00CE258B">
        <w:rPr>
          <w:sz w:val="24"/>
          <w:szCs w:val="24"/>
        </w:rPr>
        <w:t>Lumajang</w:t>
      </w:r>
      <w:proofErr w:type="spellEnd"/>
      <w:r w:rsidRPr="00CE258B">
        <w:rPr>
          <w:sz w:val="24"/>
          <w:szCs w:val="24"/>
        </w:rPr>
        <w:t>: There is a competition for authority between the Provincial and Regency Governments in mining management, which creates conflicts between local governments and mining actors.</w:t>
      </w:r>
    </w:p>
    <w:p w14:paraId="44360E4A" w14:textId="27F45069" w:rsidR="00690655" w:rsidRPr="00CE258B" w:rsidRDefault="00690655" w:rsidP="00690655">
      <w:pPr>
        <w:pStyle w:val="DaftarParagraf"/>
        <w:numPr>
          <w:ilvl w:val="0"/>
          <w:numId w:val="8"/>
        </w:numPr>
        <w:spacing w:after="0"/>
        <w:jc w:val="both"/>
        <w:rPr>
          <w:sz w:val="24"/>
          <w:szCs w:val="24"/>
        </w:rPr>
      </w:pPr>
      <w:r w:rsidRPr="00CE258B">
        <w:rPr>
          <w:sz w:val="24"/>
          <w:szCs w:val="24"/>
        </w:rPr>
        <w:t xml:space="preserve">Surabaya: A vertical conflict occurred between </w:t>
      </w:r>
      <w:proofErr w:type="spellStart"/>
      <w:r w:rsidRPr="00CE258B">
        <w:rPr>
          <w:sz w:val="24"/>
          <w:szCs w:val="24"/>
        </w:rPr>
        <w:t>Ecoton</w:t>
      </w:r>
      <w:proofErr w:type="spellEnd"/>
      <w:r w:rsidRPr="00CE258B">
        <w:rPr>
          <w:sz w:val="24"/>
          <w:szCs w:val="24"/>
        </w:rPr>
        <w:t xml:space="preserve"> and the East Java Provincial Government in the process of determining regulations for the control of water pollution in the Surabaya River.</w:t>
      </w:r>
    </w:p>
    <w:p w14:paraId="68CF134F" w14:textId="77777777" w:rsidR="00690655" w:rsidRPr="00786C4C" w:rsidRDefault="00690655" w:rsidP="00690655">
      <w:pPr>
        <w:jc w:val="both"/>
        <w:rPr>
          <w:sz w:val="24"/>
          <w:szCs w:val="24"/>
        </w:rPr>
      </w:pPr>
      <w:r w:rsidRPr="00786C4C">
        <w:rPr>
          <w:sz w:val="24"/>
          <w:szCs w:val="24"/>
        </w:rPr>
        <w:t>4. Horizontal Opposition</w:t>
      </w:r>
    </w:p>
    <w:p w14:paraId="2C22D104" w14:textId="77777777" w:rsidR="00CE258B" w:rsidRDefault="00690655" w:rsidP="00690655">
      <w:pPr>
        <w:pStyle w:val="DaftarParagraf"/>
        <w:numPr>
          <w:ilvl w:val="0"/>
          <w:numId w:val="9"/>
        </w:numPr>
        <w:spacing w:after="0"/>
        <w:jc w:val="both"/>
        <w:rPr>
          <w:sz w:val="24"/>
          <w:szCs w:val="24"/>
        </w:rPr>
      </w:pPr>
      <w:proofErr w:type="spellStart"/>
      <w:r w:rsidRPr="00CE258B">
        <w:rPr>
          <w:sz w:val="24"/>
          <w:szCs w:val="24"/>
        </w:rPr>
        <w:t>Lumajang</w:t>
      </w:r>
      <w:proofErr w:type="spellEnd"/>
      <w:r w:rsidRPr="00CE258B">
        <w:rPr>
          <w:sz w:val="24"/>
          <w:szCs w:val="24"/>
        </w:rPr>
        <w:t>: Horizontal conflicts occur between community groups that are pro and con to mining activities, causing disputes and casualties.</w:t>
      </w:r>
    </w:p>
    <w:p w14:paraId="0008875B" w14:textId="7ED0D25A" w:rsidR="00690655" w:rsidRPr="00CE258B" w:rsidRDefault="00690655" w:rsidP="00690655">
      <w:pPr>
        <w:pStyle w:val="DaftarParagraf"/>
        <w:numPr>
          <w:ilvl w:val="0"/>
          <w:numId w:val="9"/>
        </w:numPr>
        <w:spacing w:after="0"/>
        <w:jc w:val="both"/>
        <w:rPr>
          <w:sz w:val="24"/>
          <w:szCs w:val="24"/>
        </w:rPr>
      </w:pPr>
      <w:r w:rsidRPr="00CE258B">
        <w:rPr>
          <w:sz w:val="24"/>
          <w:szCs w:val="24"/>
        </w:rPr>
        <w:t>Surabaya: In the case of Kali Surabaya, horizontal conflict is less visible because the conflict is more centralized between environmental organizations and the government.</w:t>
      </w:r>
    </w:p>
    <w:p w14:paraId="623D70AB" w14:textId="77777777" w:rsidR="00690655" w:rsidRPr="00786C4C" w:rsidRDefault="00690655" w:rsidP="00690655">
      <w:pPr>
        <w:jc w:val="both"/>
        <w:rPr>
          <w:sz w:val="24"/>
          <w:szCs w:val="24"/>
        </w:rPr>
      </w:pPr>
      <w:r w:rsidRPr="00786C4C">
        <w:rPr>
          <w:sz w:val="24"/>
          <w:szCs w:val="24"/>
        </w:rPr>
        <w:t>5. Diagonal Dispute</w:t>
      </w:r>
    </w:p>
    <w:p w14:paraId="47A5213B" w14:textId="77777777" w:rsidR="00CE258B" w:rsidRDefault="00690655" w:rsidP="00C26CF5">
      <w:pPr>
        <w:pStyle w:val="DaftarParagraf"/>
        <w:numPr>
          <w:ilvl w:val="0"/>
          <w:numId w:val="10"/>
        </w:numPr>
        <w:spacing w:after="0"/>
        <w:jc w:val="both"/>
        <w:rPr>
          <w:sz w:val="24"/>
          <w:szCs w:val="24"/>
        </w:rPr>
      </w:pPr>
      <w:proofErr w:type="spellStart"/>
      <w:r w:rsidRPr="00CE258B">
        <w:rPr>
          <w:sz w:val="24"/>
          <w:szCs w:val="24"/>
        </w:rPr>
        <w:t>Lumajang</w:t>
      </w:r>
      <w:proofErr w:type="spellEnd"/>
      <w:r w:rsidRPr="00CE258B">
        <w:rPr>
          <w:sz w:val="24"/>
          <w:szCs w:val="24"/>
        </w:rPr>
        <w:t>: Inequities in resource allocation, such as the refusal of mining companies to engage local communities, trigger diagonal conflicts.</w:t>
      </w:r>
    </w:p>
    <w:p w14:paraId="73460DE6" w14:textId="77777777" w:rsidR="008F4C48" w:rsidRDefault="00690655" w:rsidP="008F4C48">
      <w:pPr>
        <w:pStyle w:val="DaftarParagraf"/>
        <w:numPr>
          <w:ilvl w:val="0"/>
          <w:numId w:val="10"/>
        </w:numPr>
        <w:spacing w:after="0"/>
        <w:jc w:val="both"/>
        <w:rPr>
          <w:sz w:val="24"/>
          <w:szCs w:val="24"/>
        </w:rPr>
      </w:pPr>
      <w:r w:rsidRPr="00CE258B">
        <w:rPr>
          <w:sz w:val="24"/>
          <w:szCs w:val="24"/>
        </w:rPr>
        <w:t xml:space="preserve">Surabaya: In the context of the Surabaya River, injustice can be seen from the non-fulfillment of the peace deed by the East Java Provincial Government, triggering a re-lawsuit by </w:t>
      </w:r>
      <w:proofErr w:type="spellStart"/>
      <w:r w:rsidRPr="00CE258B">
        <w:rPr>
          <w:sz w:val="24"/>
          <w:szCs w:val="24"/>
        </w:rPr>
        <w:t>Ecoton</w:t>
      </w:r>
      <w:proofErr w:type="spellEnd"/>
      <w:r w:rsidRPr="00CE258B">
        <w:rPr>
          <w:sz w:val="24"/>
          <w:szCs w:val="24"/>
        </w:rPr>
        <w:t>.</w:t>
      </w:r>
    </w:p>
    <w:p w14:paraId="60F09A30" w14:textId="42A94843" w:rsidR="00793586" w:rsidRPr="008F4C48" w:rsidRDefault="00416A73" w:rsidP="008F4C48">
      <w:pPr>
        <w:pStyle w:val="DaftarParagraf"/>
        <w:spacing w:after="0"/>
        <w:ind w:left="0"/>
        <w:jc w:val="both"/>
        <w:rPr>
          <w:sz w:val="24"/>
          <w:szCs w:val="24"/>
        </w:rPr>
      </w:pPr>
      <w:r w:rsidRPr="008F4C48">
        <w:rPr>
          <w:sz w:val="24"/>
          <w:szCs w:val="24"/>
        </w:rPr>
        <w:t xml:space="preserve">Conflict resolution in the mining sector is faced by various obstacles and challenges. These obstacles are closely related to the socio-cultural and economic systems that exist in mining areas, and this situation is also observed in </w:t>
      </w:r>
      <w:proofErr w:type="spellStart"/>
      <w:r w:rsidRPr="008F4C48">
        <w:rPr>
          <w:sz w:val="24"/>
          <w:szCs w:val="24"/>
        </w:rPr>
        <w:t>Lumajang</w:t>
      </w:r>
      <w:proofErr w:type="spellEnd"/>
      <w:r w:rsidRPr="008F4C48">
        <w:rPr>
          <w:sz w:val="24"/>
          <w:szCs w:val="24"/>
        </w:rPr>
        <w:t xml:space="preserve"> Regency. Here are some of the obstacles and challenges faced:</w:t>
      </w:r>
    </w:p>
    <w:p w14:paraId="76A431D8" w14:textId="77777777" w:rsidR="00CE258B" w:rsidRDefault="00416A73" w:rsidP="00CE258B">
      <w:pPr>
        <w:pStyle w:val="DaftarParagraf"/>
        <w:numPr>
          <w:ilvl w:val="0"/>
          <w:numId w:val="11"/>
        </w:numPr>
        <w:pBdr>
          <w:top w:val="nil"/>
          <w:left w:val="nil"/>
          <w:bottom w:val="nil"/>
          <w:right w:val="nil"/>
          <w:between w:val="nil"/>
        </w:pBdr>
        <w:spacing w:after="0"/>
        <w:jc w:val="both"/>
        <w:rPr>
          <w:color w:val="000000"/>
          <w:sz w:val="24"/>
          <w:szCs w:val="24"/>
        </w:rPr>
      </w:pPr>
      <w:r w:rsidRPr="00CE258B">
        <w:rPr>
          <w:color w:val="000000"/>
          <w:sz w:val="24"/>
          <w:szCs w:val="24"/>
        </w:rPr>
        <w:t>People tend to see mining conflicts only as an economic problem, not as a major problem. They are more interested in the compensation they receive as a result of resolving the conflict.</w:t>
      </w:r>
    </w:p>
    <w:p w14:paraId="25757A08" w14:textId="77777777" w:rsidR="00CE258B" w:rsidRDefault="00416A73" w:rsidP="00CE258B">
      <w:pPr>
        <w:pStyle w:val="DaftarParagraf"/>
        <w:numPr>
          <w:ilvl w:val="0"/>
          <w:numId w:val="11"/>
        </w:numPr>
        <w:pBdr>
          <w:top w:val="nil"/>
          <w:left w:val="nil"/>
          <w:bottom w:val="nil"/>
          <w:right w:val="nil"/>
          <w:between w:val="nil"/>
        </w:pBdr>
        <w:spacing w:after="0"/>
        <w:jc w:val="both"/>
        <w:rPr>
          <w:color w:val="000000"/>
          <w:sz w:val="24"/>
          <w:szCs w:val="24"/>
        </w:rPr>
      </w:pPr>
      <w:r w:rsidRPr="00CE258B">
        <w:rPr>
          <w:color w:val="000000"/>
          <w:sz w:val="24"/>
          <w:szCs w:val="24"/>
        </w:rPr>
        <w:t>The majority of people in mining areas only play the role of workers. Mining business owners are generally investors from outside the region, who are often unknown to the local population. It is rare for financiers to come from the local community, especially if the mining activity has used modern technology.</w:t>
      </w:r>
    </w:p>
    <w:p w14:paraId="514D3927" w14:textId="77777777" w:rsidR="00CE258B" w:rsidRDefault="00416A73" w:rsidP="00CE258B">
      <w:pPr>
        <w:pStyle w:val="DaftarParagraf"/>
        <w:numPr>
          <w:ilvl w:val="0"/>
          <w:numId w:val="11"/>
        </w:numPr>
        <w:pBdr>
          <w:top w:val="nil"/>
          <w:left w:val="nil"/>
          <w:bottom w:val="nil"/>
          <w:right w:val="nil"/>
          <w:between w:val="nil"/>
        </w:pBdr>
        <w:spacing w:after="0"/>
        <w:jc w:val="both"/>
        <w:rPr>
          <w:color w:val="000000"/>
          <w:sz w:val="24"/>
          <w:szCs w:val="24"/>
        </w:rPr>
      </w:pPr>
      <w:r w:rsidRPr="00CE258B">
        <w:rPr>
          <w:color w:val="000000"/>
          <w:sz w:val="24"/>
          <w:szCs w:val="24"/>
        </w:rPr>
        <w:lastRenderedPageBreak/>
        <w:t>The authority to handle violations in the mining sector has been transferred to the Provincial Government, so that the District Government loses its authority. The district can only provide assistance if requested by the Provincial Government or the Central Government.</w:t>
      </w:r>
    </w:p>
    <w:p w14:paraId="64843D90" w14:textId="2519292C" w:rsidR="00793586" w:rsidRPr="00CE258B" w:rsidRDefault="00416A73" w:rsidP="00CE258B">
      <w:pPr>
        <w:pStyle w:val="DaftarParagraf"/>
        <w:numPr>
          <w:ilvl w:val="0"/>
          <w:numId w:val="11"/>
        </w:numPr>
        <w:pBdr>
          <w:top w:val="nil"/>
          <w:left w:val="nil"/>
          <w:bottom w:val="nil"/>
          <w:right w:val="nil"/>
          <w:between w:val="nil"/>
        </w:pBdr>
        <w:spacing w:after="0"/>
        <w:jc w:val="both"/>
        <w:rPr>
          <w:color w:val="000000"/>
          <w:sz w:val="24"/>
          <w:szCs w:val="24"/>
        </w:rPr>
      </w:pPr>
      <w:r w:rsidRPr="00CE258B">
        <w:rPr>
          <w:color w:val="000000"/>
          <w:sz w:val="24"/>
          <w:szCs w:val="24"/>
        </w:rPr>
        <w:t>There has been no mutual agreement regarding the resolution of mining conflicts. Sectoral handling is still the dominant trend.</w:t>
      </w:r>
    </w:p>
    <w:p w14:paraId="19612008" w14:textId="77777777" w:rsidR="008F4C48" w:rsidRDefault="00786B78" w:rsidP="008F4C48">
      <w:pPr>
        <w:numPr>
          <w:ilvl w:val="1"/>
          <w:numId w:val="2"/>
        </w:numPr>
        <w:pBdr>
          <w:top w:val="nil"/>
          <w:left w:val="nil"/>
          <w:bottom w:val="nil"/>
          <w:right w:val="nil"/>
          <w:between w:val="nil"/>
        </w:pBdr>
        <w:spacing w:after="0"/>
        <w:ind w:left="284" w:hanging="405"/>
        <w:jc w:val="both"/>
        <w:rPr>
          <w:b/>
          <w:color w:val="538135" w:themeColor="accent6" w:themeShade="BF"/>
          <w:sz w:val="32"/>
          <w:szCs w:val="24"/>
        </w:rPr>
      </w:pPr>
      <w:r w:rsidRPr="00786B78">
        <w:rPr>
          <w:b/>
          <w:color w:val="538135" w:themeColor="accent6" w:themeShade="BF"/>
          <w:sz w:val="28"/>
        </w:rPr>
        <w:t>Out-of-Court Environmental Settlement (non-litigation)</w:t>
      </w:r>
    </w:p>
    <w:p w14:paraId="69AC331E" w14:textId="77777777" w:rsidR="008F4C48" w:rsidRDefault="002E569F" w:rsidP="008F4C48">
      <w:pPr>
        <w:pBdr>
          <w:top w:val="nil"/>
          <w:left w:val="nil"/>
          <w:bottom w:val="nil"/>
          <w:right w:val="nil"/>
          <w:between w:val="nil"/>
        </w:pBdr>
        <w:spacing w:after="0"/>
        <w:ind w:left="284"/>
        <w:jc w:val="both"/>
        <w:rPr>
          <w:b/>
          <w:color w:val="538135" w:themeColor="accent6" w:themeShade="BF"/>
          <w:sz w:val="32"/>
          <w:szCs w:val="24"/>
        </w:rPr>
      </w:pPr>
      <w:r w:rsidRPr="008F4C48">
        <w:rPr>
          <w:sz w:val="24"/>
          <w:szCs w:val="24"/>
        </w:rPr>
        <w:t>The purpose of regulating out-of-court dispute resolution is to protect the civil rights of the parties to the dispute in a fast and efficient way. This is considering that dispute resolution through litigation tends to take a long time and the cost is relatively not small. This is due to the slow dispute resolution process, expensive court proceedings, courts are considered less responsive in settlement, so that decisions are often unable to resolve problems and the accumulation of unresolved cases at the Supreme Court level.</w:t>
      </w:r>
    </w:p>
    <w:p w14:paraId="2B0DAB0A" w14:textId="77777777" w:rsidR="008F4C48" w:rsidRDefault="008F4C48" w:rsidP="008F4C48">
      <w:pPr>
        <w:pBdr>
          <w:top w:val="nil"/>
          <w:left w:val="nil"/>
          <w:bottom w:val="nil"/>
          <w:right w:val="nil"/>
          <w:between w:val="nil"/>
        </w:pBdr>
        <w:spacing w:after="0"/>
        <w:ind w:left="284"/>
        <w:jc w:val="both"/>
        <w:rPr>
          <w:b/>
          <w:color w:val="538135" w:themeColor="accent6" w:themeShade="BF"/>
          <w:sz w:val="32"/>
          <w:szCs w:val="24"/>
        </w:rPr>
      </w:pPr>
    </w:p>
    <w:p w14:paraId="5C7F6C29" w14:textId="77777777" w:rsidR="008F4C48" w:rsidRDefault="00FD2B94" w:rsidP="008F4C48">
      <w:pPr>
        <w:pBdr>
          <w:top w:val="nil"/>
          <w:left w:val="nil"/>
          <w:bottom w:val="nil"/>
          <w:right w:val="nil"/>
          <w:between w:val="nil"/>
        </w:pBdr>
        <w:spacing w:after="0"/>
        <w:ind w:left="284"/>
        <w:jc w:val="both"/>
        <w:rPr>
          <w:b/>
          <w:color w:val="538135" w:themeColor="accent6" w:themeShade="BF"/>
          <w:sz w:val="32"/>
          <w:szCs w:val="24"/>
        </w:rPr>
      </w:pPr>
      <w:r w:rsidRPr="001A6C34">
        <w:rPr>
          <w:sz w:val="24"/>
          <w:szCs w:val="24"/>
        </w:rPr>
        <w:t>Achmad Ali stated that a number of problems that have been experienced by the Supreme Court of the Republic of Indonesia for a long time are the accumulation of tens of thousands of cassation cases. The problem of the accumulation of cases in the Supreme Court is more caused by the mechanism of the judicial process in Indonesia, especially related to the authority of the Supreme Court. Such is the severity of the state of the judicial system in Indonesia, which is seen in our highest judicial institution with a torrent of sharp criticism of this institution, not to mention the judiciary under it which is not spared from the thought of the stigma of the "Judicial Mafia".</w:t>
      </w:r>
      <w:r w:rsidRPr="001A6C34">
        <w:rPr>
          <w:rStyle w:val="ReferensiCatatanKaki"/>
          <w:sz w:val="24"/>
          <w:szCs w:val="24"/>
        </w:rPr>
        <w:footnoteReference w:id="7"/>
      </w:r>
      <w:r w:rsidR="00FD39EB" w:rsidRPr="001A6C34">
        <w:rPr>
          <w:sz w:val="24"/>
          <w:szCs w:val="24"/>
        </w:rPr>
        <w:t xml:space="preserve"> The Supreme Court is the main institution to ensure the existence of supremacy of law and eliminate the supremacy of personal interest as observed by legal philosophers. This paradigm is different from countries that adhere to the </w:t>
      </w:r>
      <w:proofErr w:type="spellStart"/>
      <w:r w:rsidR="00FD39EB" w:rsidRPr="001A6C34">
        <w:rPr>
          <w:sz w:val="24"/>
          <w:szCs w:val="24"/>
        </w:rPr>
        <w:t>commond</w:t>
      </w:r>
      <w:proofErr w:type="spellEnd"/>
      <w:r w:rsidR="00FD39EB" w:rsidRPr="001A6C34">
        <w:rPr>
          <w:sz w:val="24"/>
          <w:szCs w:val="24"/>
        </w:rPr>
        <w:t xml:space="preserve"> law system, according to H.L.A. Hart, the views of the Supreme Court are highly respected both from the French Cour de Cassation, the Dutch Hoge Read, the Austrian Oberste </w:t>
      </w:r>
      <w:proofErr w:type="spellStart"/>
      <w:r w:rsidR="00FD39EB" w:rsidRPr="001A6C34">
        <w:rPr>
          <w:sz w:val="24"/>
          <w:szCs w:val="24"/>
        </w:rPr>
        <w:t>Gerichtshof</w:t>
      </w:r>
      <w:proofErr w:type="spellEnd"/>
      <w:r w:rsidR="00FD39EB" w:rsidRPr="001A6C34">
        <w:rPr>
          <w:sz w:val="24"/>
          <w:szCs w:val="24"/>
        </w:rPr>
        <w:t>, the United States Supreme Court, and the British Privy Court. Businessmen from these countries, including legal products, are used to living in the legal opinion of the Supreme Court, because this is the crystallization of the legal culture of the country concerned. In their international business, they pay close attention not only to the legal views of their own Supreme Court, but also to the legal views of the Supreme Court of the countries in which they operate.</w:t>
      </w:r>
      <w:r w:rsidR="00FD39EB" w:rsidRPr="001A6C34">
        <w:rPr>
          <w:rStyle w:val="ReferensiCatatanKaki"/>
          <w:sz w:val="24"/>
          <w:szCs w:val="24"/>
        </w:rPr>
        <w:footnoteReference w:id="8"/>
      </w:r>
    </w:p>
    <w:p w14:paraId="0BA777A9" w14:textId="77777777" w:rsidR="008F4C48" w:rsidRDefault="008F4C48" w:rsidP="008F4C48">
      <w:pPr>
        <w:pBdr>
          <w:top w:val="nil"/>
          <w:left w:val="nil"/>
          <w:bottom w:val="nil"/>
          <w:right w:val="nil"/>
          <w:between w:val="nil"/>
        </w:pBdr>
        <w:spacing w:after="0"/>
        <w:ind w:left="284"/>
        <w:jc w:val="both"/>
        <w:rPr>
          <w:b/>
          <w:color w:val="538135" w:themeColor="accent6" w:themeShade="BF"/>
          <w:sz w:val="32"/>
          <w:szCs w:val="24"/>
        </w:rPr>
      </w:pPr>
    </w:p>
    <w:p w14:paraId="1CB423A7" w14:textId="1F6548D3" w:rsidR="00FD39EB" w:rsidRPr="008F4C48" w:rsidRDefault="00FD39EB" w:rsidP="008F4C48">
      <w:pPr>
        <w:pBdr>
          <w:top w:val="nil"/>
          <w:left w:val="nil"/>
          <w:bottom w:val="nil"/>
          <w:right w:val="nil"/>
          <w:between w:val="nil"/>
        </w:pBdr>
        <w:spacing w:after="0"/>
        <w:ind w:left="284"/>
        <w:jc w:val="both"/>
        <w:rPr>
          <w:b/>
          <w:color w:val="538135" w:themeColor="accent6" w:themeShade="BF"/>
          <w:sz w:val="32"/>
          <w:szCs w:val="24"/>
        </w:rPr>
      </w:pPr>
      <w:r w:rsidRPr="00FD39EB">
        <w:rPr>
          <w:sz w:val="24"/>
          <w:szCs w:val="24"/>
        </w:rPr>
        <w:t xml:space="preserve">In Indonesia, when cases can be resolved normatively there are no clear legal rules, so that those in bad faith will enjoy a material right that does not belong to them for a longer time, on the contrary, those in good faith will suffer more and more losses because a system that does not work as it should. Yahya Harahap, a judge who has had a career for 39 years from the District Court level to a judge of the Supreme Court of the Republic of Indonesia, described how slow cases starting from the first level to cassation in Indonesia take about 5-12 years. Out-of-court settlement of environmental disputes is held to reach an </w:t>
      </w:r>
      <w:r w:rsidRPr="00FD39EB">
        <w:rPr>
          <w:sz w:val="24"/>
          <w:szCs w:val="24"/>
        </w:rPr>
        <w:lastRenderedPageBreak/>
        <w:t>agreement on the form and amount of compensation and/or on certain actions to ensure that there will be no or recurrence of negative impacts on the environment. In the settlement of environmental disputes outside the court, it can be facilitated through the services of third parties, both those who do not have decision-making authority and those who have decision-making authority, to help resolve environmental disputes, such as the Government and/or the community. The community in this case can form an institution that provides environmental dispute resolution services that are free and impartial. However, the good intentions of the drafters of the Environmental Management Law to overcome the problem of the deterioration of the judicial system in Indonesia by providing opportunities to regulate environmental settlement through non-litigation channels are not accompanied by sufficient institutional factors. Considering that until now it is not clear how the settlement of environmental disputes outside the court (non-litigation) through the services of a third party can be resolved.</w:t>
      </w:r>
    </w:p>
    <w:p w14:paraId="06768140" w14:textId="77777777" w:rsidR="008F4C48" w:rsidRDefault="00416A73" w:rsidP="008F4C48">
      <w:pPr>
        <w:numPr>
          <w:ilvl w:val="1"/>
          <w:numId w:val="2"/>
        </w:numPr>
        <w:pBdr>
          <w:top w:val="nil"/>
          <w:left w:val="nil"/>
          <w:bottom w:val="nil"/>
          <w:right w:val="nil"/>
          <w:between w:val="nil"/>
        </w:pBdr>
        <w:spacing w:after="0"/>
        <w:ind w:left="284" w:hanging="405"/>
        <w:jc w:val="both"/>
        <w:rPr>
          <w:color w:val="000000"/>
          <w:sz w:val="24"/>
          <w:szCs w:val="24"/>
        </w:rPr>
      </w:pPr>
      <w:r>
        <w:rPr>
          <w:b/>
          <w:color w:val="538135"/>
          <w:sz w:val="28"/>
          <w:szCs w:val="28"/>
        </w:rPr>
        <w:t>Limitations in Resolving Environmental Conflicts Through Legal Channels</w:t>
      </w:r>
    </w:p>
    <w:p w14:paraId="7E4BF525" w14:textId="77777777" w:rsidR="008F4C48" w:rsidRDefault="00416A73" w:rsidP="008F4C48">
      <w:pPr>
        <w:pBdr>
          <w:top w:val="nil"/>
          <w:left w:val="nil"/>
          <w:bottom w:val="nil"/>
          <w:right w:val="nil"/>
          <w:between w:val="nil"/>
        </w:pBdr>
        <w:spacing w:after="0"/>
        <w:ind w:left="284"/>
        <w:jc w:val="both"/>
        <w:rPr>
          <w:color w:val="000000"/>
          <w:sz w:val="24"/>
          <w:szCs w:val="24"/>
        </w:rPr>
      </w:pPr>
      <w:r w:rsidRPr="008F4C48">
        <w:rPr>
          <w:sz w:val="24"/>
          <w:szCs w:val="24"/>
        </w:rPr>
        <w:t>The section on arbitration of Law No. 30 of 1999 concerning Arbitration and Alternative Dispute Resolution is stipulated. Arbitration, according to Article 1 Paragraph 1 of the Law, is a way of resolving civil disputes outside the general court that depends on a written agreement between the parties to the dispute. Compared to methods such as negotiation, mediation, or conciliation, arbitration is a more formal approach. Although arbitration proceedings do not guarantee dispute resolution because they are presided over by arbitrators selected based on their expertise, they can guarantee the confidentiality of the parties involved in the dispute. However, there are drawbacks to this arbitration mechanism, such as fees that tend to be high because the parties have to bear all costs related to dispute resolution, including arbitrator honorariums, space rental fees, and representation fees. In addition, since most arbitrations take place in major cities, permanent arbitrations are also rare. The environmental dispute resolution system in Indonesia is developing largely because out-of-court or non-litigation environmental dispute resolution is often expensive and involves complex court bureaucracy. There are many reasons why the disputing parties like this system. Alternative dispute resolution systems, or ADRs, allow for community participation in dispute resolution and improve access to justice. As a result, each case has different characteristics.</w:t>
      </w:r>
      <w:r>
        <w:rPr>
          <w:sz w:val="24"/>
          <w:szCs w:val="24"/>
          <w:vertAlign w:val="superscript"/>
        </w:rPr>
        <w:footnoteReference w:id="9"/>
      </w:r>
    </w:p>
    <w:p w14:paraId="38AF7735" w14:textId="77777777" w:rsidR="008F4C48" w:rsidRDefault="008F4C48" w:rsidP="008F4C48">
      <w:pPr>
        <w:pBdr>
          <w:top w:val="nil"/>
          <w:left w:val="nil"/>
          <w:bottom w:val="nil"/>
          <w:right w:val="nil"/>
          <w:between w:val="nil"/>
        </w:pBdr>
        <w:spacing w:after="0"/>
        <w:ind w:left="284"/>
        <w:jc w:val="both"/>
        <w:rPr>
          <w:color w:val="000000"/>
          <w:sz w:val="24"/>
          <w:szCs w:val="24"/>
        </w:rPr>
      </w:pPr>
    </w:p>
    <w:p w14:paraId="74B46AB3" w14:textId="430883A7" w:rsidR="00793586" w:rsidRPr="008F4C48" w:rsidRDefault="00416A73" w:rsidP="008F4C48">
      <w:pPr>
        <w:pBdr>
          <w:top w:val="nil"/>
          <w:left w:val="nil"/>
          <w:bottom w:val="nil"/>
          <w:right w:val="nil"/>
          <w:between w:val="nil"/>
        </w:pBdr>
        <w:spacing w:after="0"/>
        <w:ind w:left="284"/>
        <w:jc w:val="both"/>
        <w:rPr>
          <w:color w:val="000000"/>
          <w:sz w:val="24"/>
          <w:szCs w:val="24"/>
        </w:rPr>
      </w:pPr>
      <w:r>
        <w:rPr>
          <w:sz w:val="24"/>
          <w:szCs w:val="24"/>
        </w:rPr>
        <w:t xml:space="preserve">The company is considered one of the parties that greatly contributes to environmental damage through development activities. However, the Government sees companies as a source of profit that can contribute financially to the state through taxes and levies. In fact, there is another approach that can be taken by the government to supervise company activities to be more concerned about the environment, namely by supervising the implementation of </w:t>
      </w:r>
      <w:r>
        <w:rPr>
          <w:i/>
          <w:sz w:val="24"/>
          <w:szCs w:val="24"/>
        </w:rPr>
        <w:t>the Corporate Social Responsibility</w:t>
      </w:r>
      <w:r>
        <w:rPr>
          <w:sz w:val="24"/>
          <w:szCs w:val="24"/>
        </w:rPr>
        <w:t xml:space="preserve"> (CSR) Principles.</w:t>
      </w:r>
      <w:r>
        <w:rPr>
          <w:sz w:val="24"/>
          <w:szCs w:val="24"/>
          <w:vertAlign w:val="superscript"/>
        </w:rPr>
        <w:footnoteReference w:id="10"/>
      </w:r>
    </w:p>
    <w:p w14:paraId="486E4F16" w14:textId="77777777" w:rsidR="00793586" w:rsidRDefault="00416A73" w:rsidP="008F4C48">
      <w:pPr>
        <w:spacing w:after="0"/>
        <w:ind w:left="284"/>
        <w:jc w:val="both"/>
        <w:rPr>
          <w:sz w:val="24"/>
          <w:szCs w:val="24"/>
        </w:rPr>
      </w:pPr>
      <w:r>
        <w:rPr>
          <w:sz w:val="24"/>
          <w:szCs w:val="24"/>
        </w:rPr>
        <w:t>The benefits of implementing CSR include:</w:t>
      </w:r>
    </w:p>
    <w:p w14:paraId="4ADCD4C9" w14:textId="77777777" w:rsidR="00793586" w:rsidRDefault="00416A73" w:rsidP="00AD30C5">
      <w:pPr>
        <w:spacing w:after="0"/>
        <w:ind w:left="284" w:firstLine="142"/>
        <w:jc w:val="both"/>
        <w:rPr>
          <w:sz w:val="24"/>
          <w:szCs w:val="24"/>
        </w:rPr>
      </w:pPr>
      <w:r>
        <w:rPr>
          <w:sz w:val="24"/>
          <w:szCs w:val="24"/>
        </w:rPr>
        <w:lastRenderedPageBreak/>
        <w:t>a. Maintain and improve the company's reputation and brand image.</w:t>
      </w:r>
    </w:p>
    <w:p w14:paraId="14DBFC0A" w14:textId="77777777" w:rsidR="00793586" w:rsidRDefault="00416A73" w:rsidP="00AD30C5">
      <w:pPr>
        <w:spacing w:after="0"/>
        <w:ind w:left="284" w:firstLine="142"/>
        <w:jc w:val="both"/>
        <w:rPr>
          <w:sz w:val="24"/>
          <w:szCs w:val="24"/>
        </w:rPr>
      </w:pPr>
      <w:r>
        <w:rPr>
          <w:sz w:val="24"/>
          <w:szCs w:val="24"/>
        </w:rPr>
        <w:t>b. Obtaining permission to operate in a socially responsible manner.</w:t>
      </w:r>
    </w:p>
    <w:p w14:paraId="5660B704" w14:textId="77777777" w:rsidR="00793586" w:rsidRDefault="00416A73" w:rsidP="00AD30C5">
      <w:pPr>
        <w:spacing w:after="0"/>
        <w:ind w:left="284" w:firstLine="142"/>
        <w:jc w:val="both"/>
        <w:rPr>
          <w:sz w:val="24"/>
          <w:szCs w:val="24"/>
        </w:rPr>
      </w:pPr>
      <w:r>
        <w:rPr>
          <w:sz w:val="24"/>
          <w:szCs w:val="24"/>
        </w:rPr>
        <w:t>c. Reduce the company's business risk</w:t>
      </w:r>
    </w:p>
    <w:p w14:paraId="5759F4CF" w14:textId="77777777" w:rsidR="00793586" w:rsidRDefault="00416A73" w:rsidP="00AD30C5">
      <w:pPr>
        <w:spacing w:after="0"/>
        <w:ind w:left="284" w:firstLine="142"/>
        <w:jc w:val="both"/>
        <w:rPr>
          <w:sz w:val="24"/>
          <w:szCs w:val="24"/>
        </w:rPr>
      </w:pPr>
      <w:r>
        <w:rPr>
          <w:sz w:val="24"/>
          <w:szCs w:val="24"/>
        </w:rPr>
        <w:t>d. Expanding access to resources for business operations</w:t>
      </w:r>
    </w:p>
    <w:p w14:paraId="311199AB" w14:textId="77777777" w:rsidR="00793586" w:rsidRDefault="00416A73" w:rsidP="00AD30C5">
      <w:pPr>
        <w:spacing w:after="0"/>
        <w:ind w:left="284" w:firstLine="142"/>
        <w:jc w:val="both"/>
        <w:rPr>
          <w:sz w:val="24"/>
          <w:szCs w:val="24"/>
        </w:rPr>
      </w:pPr>
      <w:r>
        <w:rPr>
          <w:sz w:val="24"/>
          <w:szCs w:val="24"/>
        </w:rPr>
        <w:t>e. Reduce costs, such as those associated with the impact of waste disposal</w:t>
      </w:r>
    </w:p>
    <w:p w14:paraId="0B410140" w14:textId="77777777" w:rsidR="00793586" w:rsidRDefault="00416A73" w:rsidP="00AD30C5">
      <w:pPr>
        <w:spacing w:after="0"/>
        <w:ind w:left="284" w:firstLine="142"/>
        <w:jc w:val="both"/>
        <w:rPr>
          <w:sz w:val="24"/>
          <w:szCs w:val="24"/>
        </w:rPr>
      </w:pPr>
      <w:r>
        <w:rPr>
          <w:sz w:val="24"/>
          <w:szCs w:val="24"/>
        </w:rPr>
        <w:t>f. Improve relationships with stakeholders</w:t>
      </w:r>
    </w:p>
    <w:p w14:paraId="57D9BCB4" w14:textId="77777777" w:rsidR="00793586" w:rsidRDefault="00416A73" w:rsidP="00AD30C5">
      <w:pPr>
        <w:spacing w:after="0"/>
        <w:ind w:left="284" w:firstLine="142"/>
        <w:jc w:val="both"/>
        <w:rPr>
          <w:sz w:val="24"/>
          <w:szCs w:val="24"/>
        </w:rPr>
      </w:pPr>
      <w:r>
        <w:rPr>
          <w:sz w:val="24"/>
          <w:szCs w:val="24"/>
        </w:rPr>
        <w:t>h. Increase employee motivation and productivity</w:t>
      </w:r>
    </w:p>
    <w:p w14:paraId="57293808" w14:textId="77777777" w:rsidR="00793586" w:rsidRDefault="00416A73" w:rsidP="00AD30C5">
      <w:pPr>
        <w:spacing w:after="0"/>
        <w:ind w:left="284" w:firstLine="142"/>
        <w:jc w:val="both"/>
        <w:rPr>
          <w:sz w:val="24"/>
          <w:szCs w:val="24"/>
        </w:rPr>
      </w:pPr>
      <w:r>
        <w:rPr>
          <w:sz w:val="24"/>
          <w:szCs w:val="24"/>
        </w:rPr>
        <w:t>j. Opportunity to receive awards</w:t>
      </w:r>
    </w:p>
    <w:p w14:paraId="6FADA2DE" w14:textId="6D0AC215" w:rsidR="00793586" w:rsidRPr="00B128A6" w:rsidRDefault="00416A73" w:rsidP="008F4C48">
      <w:pPr>
        <w:spacing w:after="0"/>
        <w:jc w:val="both"/>
        <w:rPr>
          <w:lang w:val="id-ID"/>
        </w:rPr>
      </w:pPr>
      <w:r>
        <w:rPr>
          <w:sz w:val="24"/>
          <w:szCs w:val="24"/>
        </w:rPr>
        <w:t>The many advantages it offers encourage the business community to use out-of-court business dispute resolution. This is due to many factors, including legal culture, economics, fostering relationships between the two parties, and process factors. The term "mediation" comes from the Latin, "</w:t>
      </w:r>
      <w:proofErr w:type="spellStart"/>
      <w:r>
        <w:rPr>
          <w:sz w:val="24"/>
          <w:szCs w:val="24"/>
        </w:rPr>
        <w:t>mediare</w:t>
      </w:r>
      <w:proofErr w:type="spellEnd"/>
      <w:r>
        <w:rPr>
          <w:sz w:val="24"/>
          <w:szCs w:val="24"/>
        </w:rPr>
        <w:t xml:space="preserve">", which means "to be in the middle", which means that the mediator must remain neutral and not participate in the resolution of the dispute. In addition, it shows the function of a third party as a mediator in carrying out the task of handling and resolving disputes between the parties. In addition, the word "mediation" is derived from the English word "mediation", which means "resolving a dispute" involving a third party as a mediator, which serves as a "mediator" to reach an amicable settlement between the two parties. According to Law of the Republic of Indonesia No. 30 of 1999, mediation carried out outside the court can be carried out without a court proceeding. Decisions reached during the mediation process can be submitted to the court to be recognized as a deed of peace that has legal force such as a court decision with legal force </w:t>
      </w:r>
      <w:r>
        <w:rPr>
          <w:i/>
          <w:sz w:val="24"/>
          <w:szCs w:val="24"/>
        </w:rPr>
        <w:t>(</w:t>
      </w:r>
      <w:proofErr w:type="spellStart"/>
      <w:r>
        <w:rPr>
          <w:i/>
          <w:sz w:val="24"/>
          <w:szCs w:val="24"/>
        </w:rPr>
        <w:t>inkrachtvangewisjde</w:t>
      </w:r>
      <w:proofErr w:type="spellEnd"/>
      <w:r>
        <w:rPr>
          <w:i/>
          <w:sz w:val="24"/>
          <w:szCs w:val="24"/>
        </w:rPr>
        <w:t>).</w:t>
      </w:r>
      <w:r w:rsidR="00B128A6">
        <w:rPr>
          <w:sz w:val="24"/>
          <w:szCs w:val="24"/>
        </w:rPr>
        <w:t xml:space="preserve"> </w:t>
      </w:r>
    </w:p>
    <w:p w14:paraId="20E91C1A" w14:textId="0D55F446" w:rsidR="00000D51" w:rsidRPr="00000D51" w:rsidRDefault="00416A73" w:rsidP="00000D51">
      <w:pPr>
        <w:spacing w:after="0"/>
        <w:ind w:firstLine="567"/>
        <w:jc w:val="both"/>
        <w:rPr>
          <w:b/>
          <w:color w:val="538135"/>
          <w:sz w:val="28"/>
          <w:szCs w:val="28"/>
          <w:lang w:val="id-ID"/>
        </w:rPr>
      </w:pPr>
      <w:r>
        <w:br/>
      </w:r>
      <w:r>
        <w:rPr>
          <w:b/>
          <w:color w:val="538135"/>
          <w:sz w:val="28"/>
          <w:szCs w:val="28"/>
        </w:rPr>
        <w:t>3.3 Case Examples</w:t>
      </w:r>
    </w:p>
    <w:p w14:paraId="2F2D5A44" w14:textId="1702936E" w:rsidR="00000D51" w:rsidRPr="00F706C6" w:rsidRDefault="00000D51" w:rsidP="00000D51">
      <w:pPr>
        <w:pStyle w:val="DaftarParagraf"/>
        <w:numPr>
          <w:ilvl w:val="3"/>
          <w:numId w:val="3"/>
        </w:numPr>
        <w:spacing w:after="0"/>
        <w:ind w:left="284" w:hanging="284"/>
        <w:jc w:val="both"/>
        <w:rPr>
          <w:sz w:val="24"/>
          <w:szCs w:val="24"/>
        </w:rPr>
      </w:pPr>
      <w:r w:rsidRPr="00F706C6">
        <w:rPr>
          <w:sz w:val="24"/>
          <w:szCs w:val="24"/>
        </w:rPr>
        <w:t>Surabaya River Water Pollution Case</w:t>
      </w:r>
    </w:p>
    <w:p w14:paraId="6FFCE12A" w14:textId="17FFCCB5" w:rsidR="000F3280" w:rsidRPr="000F3280" w:rsidRDefault="000F3280" w:rsidP="008F4C48">
      <w:pPr>
        <w:pStyle w:val="DaftarParagraf"/>
        <w:spacing w:after="0" w:line="240" w:lineRule="auto"/>
        <w:ind w:left="0"/>
        <w:jc w:val="both"/>
        <w:rPr>
          <w:sz w:val="24"/>
          <w:szCs w:val="24"/>
        </w:rPr>
      </w:pPr>
      <w:r w:rsidRPr="000F3280">
        <w:rPr>
          <w:sz w:val="24"/>
          <w:szCs w:val="24"/>
        </w:rPr>
        <w:t xml:space="preserve">Surabaya River water was used as the raw material for drinking water by PDAM Surabaya and PDAM Gresik. Every second, these two regional drinking water companies take 10.4 m3 of water from river flow from </w:t>
      </w:r>
      <w:proofErr w:type="spellStart"/>
      <w:r w:rsidRPr="000F3280">
        <w:rPr>
          <w:sz w:val="24"/>
          <w:szCs w:val="24"/>
        </w:rPr>
        <w:t>Mlirip</w:t>
      </w:r>
      <w:proofErr w:type="spellEnd"/>
      <w:r w:rsidRPr="000F3280">
        <w:rPr>
          <w:sz w:val="24"/>
          <w:szCs w:val="24"/>
        </w:rPr>
        <w:t xml:space="preserve"> Mojokerto DAM to Jagir Surabaya DAM ironically Surabaya River is in an inappropriate condition. The Surabaya River, based on Government Regulation Number 82 of 2001 on Water Quality Management and Pollution Control of Water Utilization, is classified into four classes; for drinking water raw materials, Surabaya River is included in class 1. However, the quality of the Surabaya River can be qualified into class 3 waters whose designation can only be used for freshwater cultivation, livestock, water, and irrigating plants. </w:t>
      </w:r>
      <w:proofErr w:type="spellStart"/>
      <w:r w:rsidRPr="000F3280">
        <w:rPr>
          <w:sz w:val="24"/>
          <w:szCs w:val="24"/>
        </w:rPr>
        <w:t>Ecoton</w:t>
      </w:r>
      <w:proofErr w:type="spellEnd"/>
      <w:r w:rsidRPr="000F3280">
        <w:rPr>
          <w:sz w:val="24"/>
          <w:szCs w:val="24"/>
        </w:rPr>
        <w:t xml:space="preserve"> is an independent environmental non-governmental organization that, in 2007, filed a Legal Standing Lawsuit at the Surabaya District Court to the East Java Provincial Government. This study aims to discuss the legal documentation stage towards the achievement of the peace deed between </w:t>
      </w:r>
      <w:proofErr w:type="spellStart"/>
      <w:r w:rsidRPr="000F3280">
        <w:rPr>
          <w:sz w:val="24"/>
          <w:szCs w:val="24"/>
        </w:rPr>
        <w:t>Ecoton</w:t>
      </w:r>
      <w:proofErr w:type="spellEnd"/>
      <w:r w:rsidRPr="000F3280">
        <w:rPr>
          <w:sz w:val="24"/>
          <w:szCs w:val="24"/>
        </w:rPr>
        <w:t xml:space="preserve"> and the Governor of East Java. Besides knowing the conformity between the </w:t>
      </w:r>
      <w:proofErr w:type="spellStart"/>
      <w:r w:rsidRPr="000F3280">
        <w:rPr>
          <w:sz w:val="24"/>
          <w:szCs w:val="24"/>
        </w:rPr>
        <w:t>petitum</w:t>
      </w:r>
      <w:proofErr w:type="spellEnd"/>
      <w:r w:rsidRPr="000F3280">
        <w:rPr>
          <w:sz w:val="24"/>
          <w:szCs w:val="24"/>
        </w:rPr>
        <w:t xml:space="preserve"> of the lawsuit and the content in the peace deed number 181.4/84/013/2008 and number 105/</w:t>
      </w:r>
      <w:proofErr w:type="spellStart"/>
      <w:r w:rsidRPr="000F3280">
        <w:rPr>
          <w:sz w:val="24"/>
          <w:szCs w:val="24"/>
        </w:rPr>
        <w:t>Pdt.G</w:t>
      </w:r>
      <w:proofErr w:type="spellEnd"/>
      <w:r w:rsidRPr="000F3280">
        <w:rPr>
          <w:sz w:val="24"/>
          <w:szCs w:val="24"/>
        </w:rPr>
        <w:t xml:space="preserve">/2010/PN. </w:t>
      </w:r>
      <w:proofErr w:type="spellStart"/>
      <w:r w:rsidRPr="000F3280">
        <w:rPr>
          <w:sz w:val="24"/>
          <w:szCs w:val="24"/>
        </w:rPr>
        <w:t>Sby</w:t>
      </w:r>
      <w:proofErr w:type="spellEnd"/>
      <w:r w:rsidRPr="000F3280">
        <w:rPr>
          <w:sz w:val="24"/>
          <w:szCs w:val="24"/>
        </w:rPr>
        <w:t xml:space="preserve"> agreed upon, what are the legal consequences over the contents of the peace deed which have not been executed.   The implementation of the peace agreement in the case filed by </w:t>
      </w:r>
      <w:proofErr w:type="spellStart"/>
      <w:r w:rsidRPr="000F3280">
        <w:rPr>
          <w:sz w:val="24"/>
          <w:szCs w:val="24"/>
        </w:rPr>
        <w:t>Ecoton</w:t>
      </w:r>
      <w:proofErr w:type="spellEnd"/>
      <w:r w:rsidRPr="000F3280">
        <w:rPr>
          <w:sz w:val="24"/>
          <w:szCs w:val="24"/>
        </w:rPr>
        <w:t xml:space="preserve"> against the East Java government is, for this reason, because they are willing to meet all the demands brought forward by </w:t>
      </w:r>
      <w:proofErr w:type="spellStart"/>
      <w:r w:rsidRPr="000F3280">
        <w:rPr>
          <w:sz w:val="24"/>
          <w:szCs w:val="24"/>
        </w:rPr>
        <w:t>Ecoton</w:t>
      </w:r>
      <w:proofErr w:type="spellEnd"/>
      <w:r w:rsidRPr="000F3280">
        <w:rPr>
          <w:sz w:val="24"/>
          <w:szCs w:val="24"/>
        </w:rPr>
        <w:t>.</w:t>
      </w:r>
    </w:p>
    <w:p w14:paraId="250EC87E" w14:textId="77777777" w:rsidR="008F4C48" w:rsidRDefault="008F4C48" w:rsidP="008F4C48">
      <w:pPr>
        <w:pStyle w:val="DaftarParagraf"/>
        <w:spacing w:after="0" w:line="240" w:lineRule="auto"/>
        <w:ind w:left="0"/>
        <w:jc w:val="both"/>
        <w:rPr>
          <w:sz w:val="24"/>
          <w:szCs w:val="24"/>
        </w:rPr>
      </w:pPr>
    </w:p>
    <w:p w14:paraId="1B6F16FF" w14:textId="465E2719" w:rsidR="00F706C6" w:rsidRDefault="000F3280" w:rsidP="008F4C48">
      <w:pPr>
        <w:pStyle w:val="DaftarParagraf"/>
        <w:spacing w:after="0" w:line="240" w:lineRule="auto"/>
        <w:ind w:left="0"/>
        <w:jc w:val="both"/>
        <w:rPr>
          <w:sz w:val="24"/>
          <w:szCs w:val="24"/>
        </w:rPr>
      </w:pPr>
      <w:r w:rsidRPr="000F3280">
        <w:rPr>
          <w:sz w:val="24"/>
          <w:szCs w:val="24"/>
        </w:rPr>
        <w:t xml:space="preserve">The legal documentation stage for the peace deed attainment in the </w:t>
      </w:r>
      <w:proofErr w:type="spellStart"/>
      <w:r w:rsidRPr="000F3280">
        <w:rPr>
          <w:sz w:val="24"/>
          <w:szCs w:val="24"/>
        </w:rPr>
        <w:t>Ecoton</w:t>
      </w:r>
      <w:proofErr w:type="spellEnd"/>
      <w:r w:rsidRPr="000F3280">
        <w:rPr>
          <w:sz w:val="24"/>
          <w:szCs w:val="24"/>
        </w:rPr>
        <w:t xml:space="preserve"> case against the East Java Provincial Government is an applicable procedural legal procedure based on the </w:t>
      </w:r>
      <w:r w:rsidRPr="000F3280">
        <w:rPr>
          <w:sz w:val="24"/>
          <w:szCs w:val="24"/>
        </w:rPr>
        <w:lastRenderedPageBreak/>
        <w:t>provisions of the HIR. In the Peace Deed of Lawsuit 677/</w:t>
      </w:r>
      <w:proofErr w:type="spellStart"/>
      <w:r w:rsidRPr="000F3280">
        <w:rPr>
          <w:sz w:val="24"/>
          <w:szCs w:val="24"/>
        </w:rPr>
        <w:t>Pdt.G</w:t>
      </w:r>
      <w:proofErr w:type="spellEnd"/>
      <w:r w:rsidRPr="000F3280">
        <w:rPr>
          <w:sz w:val="24"/>
          <w:szCs w:val="24"/>
        </w:rPr>
        <w:t xml:space="preserve">/2007/PN. East Java Provincial Government has committed a default act in terms of the action to prepare the calculation guidelines and determine the carrying capacity of the river water pollution load (Surabaya River) no later than 12 but not implemented by the East Java Provincial Government. Therefore, </w:t>
      </w:r>
      <w:proofErr w:type="spellStart"/>
      <w:r w:rsidRPr="000F3280">
        <w:rPr>
          <w:sz w:val="24"/>
          <w:szCs w:val="24"/>
        </w:rPr>
        <w:t>Ecoton</w:t>
      </w:r>
      <w:proofErr w:type="spellEnd"/>
      <w:r w:rsidRPr="000F3280">
        <w:rPr>
          <w:sz w:val="24"/>
          <w:szCs w:val="24"/>
        </w:rPr>
        <w:t xml:space="preserve"> filed back a Lawsuit again in case No. 105/</w:t>
      </w:r>
      <w:proofErr w:type="spellStart"/>
      <w:r w:rsidRPr="000F3280">
        <w:rPr>
          <w:sz w:val="24"/>
          <w:szCs w:val="24"/>
        </w:rPr>
        <w:t>Pdt.G</w:t>
      </w:r>
      <w:proofErr w:type="spellEnd"/>
      <w:r w:rsidRPr="000F3280">
        <w:rPr>
          <w:sz w:val="24"/>
          <w:szCs w:val="24"/>
        </w:rPr>
        <w:t xml:space="preserve">/2010/PN. </w:t>
      </w:r>
      <w:proofErr w:type="spellStart"/>
      <w:r w:rsidRPr="000F3280">
        <w:rPr>
          <w:sz w:val="24"/>
          <w:szCs w:val="24"/>
        </w:rPr>
        <w:t>Sby</w:t>
      </w:r>
      <w:proofErr w:type="spellEnd"/>
      <w:r w:rsidRPr="000F3280">
        <w:rPr>
          <w:sz w:val="24"/>
          <w:szCs w:val="24"/>
        </w:rPr>
        <w:t>. In the Lawsuit 677/</w:t>
      </w:r>
      <w:proofErr w:type="spellStart"/>
      <w:r w:rsidRPr="000F3280">
        <w:rPr>
          <w:sz w:val="24"/>
          <w:szCs w:val="24"/>
        </w:rPr>
        <w:t>Pdt.G</w:t>
      </w:r>
      <w:proofErr w:type="spellEnd"/>
      <w:r w:rsidRPr="000F3280">
        <w:rPr>
          <w:sz w:val="24"/>
          <w:szCs w:val="24"/>
        </w:rPr>
        <w:t xml:space="preserve">/2007/PN. </w:t>
      </w:r>
      <w:proofErr w:type="spellStart"/>
      <w:r w:rsidRPr="000F3280">
        <w:rPr>
          <w:sz w:val="24"/>
          <w:szCs w:val="24"/>
        </w:rPr>
        <w:t>Sby</w:t>
      </w:r>
      <w:proofErr w:type="spellEnd"/>
      <w:r w:rsidRPr="000F3280">
        <w:rPr>
          <w:sz w:val="24"/>
          <w:szCs w:val="24"/>
        </w:rPr>
        <w:t xml:space="preserve">, in points first and second, is not in conformity with the </w:t>
      </w:r>
      <w:proofErr w:type="spellStart"/>
      <w:r w:rsidRPr="000F3280">
        <w:rPr>
          <w:sz w:val="24"/>
          <w:szCs w:val="24"/>
        </w:rPr>
        <w:t>petitum</w:t>
      </w:r>
      <w:proofErr w:type="spellEnd"/>
      <w:r w:rsidRPr="000F3280">
        <w:rPr>
          <w:sz w:val="24"/>
          <w:szCs w:val="24"/>
        </w:rPr>
        <w:t xml:space="preserve"> of the lawsuit and the peace deed. To determine the qualification of water quality of the Surabaya River and to determine the carrying capacity of the river (Surabaya River), the peace deed in lawsuit No. 105/</w:t>
      </w:r>
      <w:proofErr w:type="spellStart"/>
      <w:r w:rsidRPr="000F3280">
        <w:rPr>
          <w:sz w:val="24"/>
          <w:szCs w:val="24"/>
        </w:rPr>
        <w:t>Pdt.G</w:t>
      </w:r>
      <w:proofErr w:type="spellEnd"/>
      <w:r w:rsidRPr="000F3280">
        <w:rPr>
          <w:sz w:val="24"/>
          <w:szCs w:val="24"/>
        </w:rPr>
        <w:t>/2010/</w:t>
      </w:r>
      <w:proofErr w:type="spellStart"/>
      <w:r w:rsidRPr="000F3280">
        <w:rPr>
          <w:sz w:val="24"/>
          <w:szCs w:val="24"/>
        </w:rPr>
        <w:t>Pn</w:t>
      </w:r>
      <w:proofErr w:type="spellEnd"/>
      <w:r w:rsidRPr="000F3280">
        <w:rPr>
          <w:sz w:val="24"/>
          <w:szCs w:val="24"/>
        </w:rPr>
        <w:t xml:space="preserve">. </w:t>
      </w:r>
      <w:proofErr w:type="spellStart"/>
      <w:r w:rsidRPr="000F3280">
        <w:rPr>
          <w:sz w:val="24"/>
          <w:szCs w:val="24"/>
        </w:rPr>
        <w:t>Sby</w:t>
      </w:r>
      <w:proofErr w:type="spellEnd"/>
      <w:r w:rsidRPr="000F3280">
        <w:rPr>
          <w:sz w:val="24"/>
          <w:szCs w:val="24"/>
        </w:rPr>
        <w:t xml:space="preserve">, in the first and second points, is not by the </w:t>
      </w:r>
      <w:proofErr w:type="spellStart"/>
      <w:r w:rsidRPr="000F3280">
        <w:rPr>
          <w:sz w:val="24"/>
          <w:szCs w:val="24"/>
        </w:rPr>
        <w:t>petitum</w:t>
      </w:r>
      <w:proofErr w:type="spellEnd"/>
      <w:r w:rsidRPr="000F3280">
        <w:rPr>
          <w:sz w:val="24"/>
          <w:szCs w:val="24"/>
        </w:rPr>
        <w:t xml:space="preserve"> of the lawsuit and the peace deed related to the determination of the guidelines of calculating the carrying capacity of water pollution burden (Surabaya River).</w:t>
      </w:r>
    </w:p>
    <w:p w14:paraId="37BA896E" w14:textId="77777777" w:rsidR="008B34A6" w:rsidRPr="00000D51" w:rsidRDefault="008B34A6" w:rsidP="008F4C48">
      <w:pPr>
        <w:pStyle w:val="DaftarParagraf"/>
        <w:spacing w:after="0" w:line="240" w:lineRule="auto"/>
        <w:ind w:left="0"/>
        <w:jc w:val="both"/>
        <w:rPr>
          <w:sz w:val="24"/>
          <w:szCs w:val="24"/>
        </w:rPr>
      </w:pPr>
    </w:p>
    <w:p w14:paraId="75F6913D" w14:textId="304E43F0" w:rsidR="00000D51" w:rsidRPr="00000D51" w:rsidRDefault="00093CC4" w:rsidP="00093CC4">
      <w:pPr>
        <w:pStyle w:val="DaftarParagraf"/>
        <w:numPr>
          <w:ilvl w:val="3"/>
          <w:numId w:val="3"/>
        </w:numPr>
        <w:spacing w:after="0" w:line="240" w:lineRule="auto"/>
        <w:ind w:left="284" w:hanging="284"/>
        <w:jc w:val="both"/>
        <w:rPr>
          <w:sz w:val="24"/>
          <w:szCs w:val="24"/>
        </w:rPr>
      </w:pPr>
      <w:proofErr w:type="spellStart"/>
      <w:r>
        <w:rPr>
          <w:sz w:val="24"/>
          <w:szCs w:val="24"/>
        </w:rPr>
        <w:t>Lumajang</w:t>
      </w:r>
      <w:proofErr w:type="spellEnd"/>
      <w:r>
        <w:rPr>
          <w:sz w:val="24"/>
          <w:szCs w:val="24"/>
        </w:rPr>
        <w:t xml:space="preserve"> Mining Conflict Case</w:t>
      </w:r>
    </w:p>
    <w:p w14:paraId="5D2C3787" w14:textId="77777777" w:rsidR="008F4C48" w:rsidRDefault="00416A73" w:rsidP="008F4C48">
      <w:pPr>
        <w:spacing w:after="0" w:line="240" w:lineRule="auto"/>
        <w:jc w:val="both"/>
        <w:rPr>
          <w:sz w:val="24"/>
          <w:szCs w:val="24"/>
        </w:rPr>
      </w:pPr>
      <w:r w:rsidRPr="00000D51">
        <w:rPr>
          <w:sz w:val="24"/>
          <w:szCs w:val="24"/>
        </w:rPr>
        <w:t xml:space="preserve">As information provided by the Economic Section of </w:t>
      </w:r>
      <w:proofErr w:type="spellStart"/>
      <w:r w:rsidRPr="00000D51">
        <w:rPr>
          <w:sz w:val="24"/>
          <w:szCs w:val="24"/>
        </w:rPr>
        <w:t>Lumajang</w:t>
      </w:r>
      <w:proofErr w:type="spellEnd"/>
      <w:r w:rsidRPr="00000D51">
        <w:rPr>
          <w:sz w:val="24"/>
          <w:szCs w:val="24"/>
        </w:rPr>
        <w:t xml:space="preserve"> Regency, the mining potential of Mount </w:t>
      </w:r>
      <w:proofErr w:type="spellStart"/>
      <w:r w:rsidRPr="00000D51">
        <w:rPr>
          <w:sz w:val="24"/>
          <w:szCs w:val="24"/>
        </w:rPr>
        <w:t>Semeru</w:t>
      </w:r>
      <w:proofErr w:type="spellEnd"/>
      <w:r w:rsidRPr="00000D51">
        <w:rPr>
          <w:sz w:val="24"/>
          <w:szCs w:val="24"/>
        </w:rPr>
        <w:t xml:space="preserve"> is very large and will continue to increase along with volcanic activity that releases a number of materials. Annual one million cubic meters. Not only is the number extraordinary, but the quality is also extraordinary, even surpassing those in East Java. Studies show that Mount </w:t>
      </w:r>
      <w:proofErr w:type="spellStart"/>
      <w:r w:rsidRPr="00000D51">
        <w:rPr>
          <w:sz w:val="24"/>
          <w:szCs w:val="24"/>
        </w:rPr>
        <w:t>Semeru</w:t>
      </w:r>
      <w:proofErr w:type="spellEnd"/>
      <w:r w:rsidRPr="00000D51">
        <w:rPr>
          <w:sz w:val="24"/>
          <w:szCs w:val="24"/>
        </w:rPr>
        <w:t xml:space="preserve"> has a low soil (mud) content, standardized sand grains, and good color and adhesion. In the </w:t>
      </w:r>
      <w:proofErr w:type="spellStart"/>
      <w:r w:rsidRPr="00000D51">
        <w:rPr>
          <w:sz w:val="24"/>
          <w:szCs w:val="24"/>
        </w:rPr>
        <w:t>Candipuro</w:t>
      </w:r>
      <w:proofErr w:type="spellEnd"/>
      <w:r w:rsidRPr="00000D51">
        <w:rPr>
          <w:sz w:val="24"/>
          <w:szCs w:val="24"/>
        </w:rPr>
        <w:t xml:space="preserve">, </w:t>
      </w:r>
      <w:proofErr w:type="spellStart"/>
      <w:r w:rsidRPr="00000D51">
        <w:rPr>
          <w:sz w:val="24"/>
          <w:szCs w:val="24"/>
        </w:rPr>
        <w:t>Pasirian</w:t>
      </w:r>
      <w:proofErr w:type="spellEnd"/>
      <w:r w:rsidRPr="00000D51">
        <w:rPr>
          <w:sz w:val="24"/>
          <w:szCs w:val="24"/>
        </w:rPr>
        <w:t xml:space="preserve">, </w:t>
      </w:r>
      <w:proofErr w:type="spellStart"/>
      <w:r w:rsidRPr="00000D51">
        <w:rPr>
          <w:sz w:val="24"/>
          <w:szCs w:val="24"/>
        </w:rPr>
        <w:t>Tempursari</w:t>
      </w:r>
      <w:proofErr w:type="spellEnd"/>
      <w:r w:rsidRPr="00000D51">
        <w:rPr>
          <w:sz w:val="24"/>
          <w:szCs w:val="24"/>
        </w:rPr>
        <w:t xml:space="preserve">, and </w:t>
      </w:r>
      <w:proofErr w:type="spellStart"/>
      <w:r w:rsidRPr="00000D51">
        <w:rPr>
          <w:sz w:val="24"/>
          <w:szCs w:val="24"/>
        </w:rPr>
        <w:t>Pronojiwo</w:t>
      </w:r>
      <w:proofErr w:type="spellEnd"/>
      <w:r w:rsidRPr="00000D51">
        <w:rPr>
          <w:sz w:val="24"/>
          <w:szCs w:val="24"/>
        </w:rPr>
        <w:t xml:space="preserve"> areas, there are many sand and stone mining sites along the </w:t>
      </w:r>
      <w:proofErr w:type="spellStart"/>
      <w:r w:rsidRPr="00000D51">
        <w:rPr>
          <w:sz w:val="24"/>
          <w:szCs w:val="24"/>
        </w:rPr>
        <w:t>Rejali</w:t>
      </w:r>
      <w:proofErr w:type="spellEnd"/>
      <w:r w:rsidRPr="00000D51">
        <w:rPr>
          <w:sz w:val="24"/>
          <w:szCs w:val="24"/>
        </w:rPr>
        <w:t xml:space="preserve"> River, the </w:t>
      </w:r>
      <w:proofErr w:type="spellStart"/>
      <w:r w:rsidRPr="00000D51">
        <w:rPr>
          <w:sz w:val="24"/>
          <w:szCs w:val="24"/>
        </w:rPr>
        <w:t>Regoyo</w:t>
      </w:r>
      <w:proofErr w:type="spellEnd"/>
      <w:r w:rsidRPr="00000D51">
        <w:rPr>
          <w:sz w:val="24"/>
          <w:szCs w:val="24"/>
        </w:rPr>
        <w:t xml:space="preserve"> River, and the </w:t>
      </w:r>
      <w:proofErr w:type="spellStart"/>
      <w:r w:rsidRPr="00000D51">
        <w:rPr>
          <w:sz w:val="24"/>
          <w:szCs w:val="24"/>
        </w:rPr>
        <w:t>Glidig</w:t>
      </w:r>
      <w:proofErr w:type="spellEnd"/>
      <w:r w:rsidRPr="00000D51">
        <w:rPr>
          <w:sz w:val="24"/>
          <w:szCs w:val="24"/>
        </w:rPr>
        <w:t xml:space="preserve"> River. The area of 82.50 ha used for mining materials and excavation of sand and building stone has a volume of 5,976,625 square meters. 15 ha of new sand and stone area was exploited with a volume of 239,065 cubic meters, which is only 4% of the available capacity. In particular, the </w:t>
      </w:r>
      <w:proofErr w:type="spellStart"/>
      <w:r w:rsidRPr="00000D51">
        <w:rPr>
          <w:sz w:val="24"/>
          <w:szCs w:val="24"/>
        </w:rPr>
        <w:t>Lumajang</w:t>
      </w:r>
      <w:proofErr w:type="spellEnd"/>
      <w:r w:rsidRPr="00000D51">
        <w:rPr>
          <w:sz w:val="24"/>
          <w:szCs w:val="24"/>
        </w:rPr>
        <w:t xml:space="preserve"> iron sand mining area reaches 2,650 ha and is spread around.</w:t>
      </w:r>
      <w:r>
        <w:rPr>
          <w:vertAlign w:val="superscript"/>
        </w:rPr>
        <w:footnoteReference w:id="11"/>
      </w:r>
      <w:r w:rsidRPr="00000D51">
        <w:rPr>
          <w:sz w:val="24"/>
          <w:szCs w:val="24"/>
        </w:rPr>
        <w:t xml:space="preserve">  </w:t>
      </w:r>
    </w:p>
    <w:p w14:paraId="36A7E9D0" w14:textId="77777777" w:rsidR="008F4C48" w:rsidRDefault="008F4C48" w:rsidP="008F4C48">
      <w:pPr>
        <w:spacing w:after="0" w:line="240" w:lineRule="auto"/>
        <w:jc w:val="both"/>
        <w:rPr>
          <w:sz w:val="24"/>
          <w:szCs w:val="24"/>
        </w:rPr>
      </w:pPr>
    </w:p>
    <w:p w14:paraId="6E92926B" w14:textId="77777777" w:rsidR="008F4C48" w:rsidRDefault="00416A73" w:rsidP="008F4C48">
      <w:pPr>
        <w:spacing w:after="0" w:line="240" w:lineRule="auto"/>
        <w:jc w:val="both"/>
        <w:rPr>
          <w:sz w:val="24"/>
          <w:szCs w:val="24"/>
        </w:rPr>
      </w:pPr>
      <w:r>
        <w:rPr>
          <w:sz w:val="24"/>
          <w:szCs w:val="24"/>
        </w:rPr>
        <w:t xml:space="preserve">Precisely on the south coast of the </w:t>
      </w:r>
      <w:proofErr w:type="spellStart"/>
      <w:r>
        <w:rPr>
          <w:sz w:val="24"/>
          <w:szCs w:val="24"/>
        </w:rPr>
        <w:t>Yosowilangun</w:t>
      </w:r>
      <w:proofErr w:type="spellEnd"/>
      <w:r>
        <w:rPr>
          <w:sz w:val="24"/>
          <w:szCs w:val="24"/>
        </w:rPr>
        <w:t xml:space="preserve">, </w:t>
      </w:r>
      <w:proofErr w:type="spellStart"/>
      <w:r>
        <w:rPr>
          <w:sz w:val="24"/>
          <w:szCs w:val="24"/>
        </w:rPr>
        <w:t>Kunir</w:t>
      </w:r>
      <w:proofErr w:type="spellEnd"/>
      <w:r>
        <w:rPr>
          <w:sz w:val="24"/>
          <w:szCs w:val="24"/>
        </w:rPr>
        <w:t xml:space="preserve">, Tempeh, and </w:t>
      </w:r>
      <w:proofErr w:type="spellStart"/>
      <w:r>
        <w:rPr>
          <w:sz w:val="24"/>
          <w:szCs w:val="24"/>
        </w:rPr>
        <w:t>Pasirian</w:t>
      </w:r>
      <w:proofErr w:type="spellEnd"/>
      <w:r>
        <w:rPr>
          <w:sz w:val="24"/>
          <w:szCs w:val="24"/>
        </w:rPr>
        <w:t xml:space="preserve"> areas. Due to its high iron content, </w:t>
      </w:r>
      <w:proofErr w:type="spellStart"/>
      <w:r>
        <w:rPr>
          <w:sz w:val="24"/>
          <w:szCs w:val="24"/>
        </w:rPr>
        <w:t>Lumajang</w:t>
      </w:r>
      <w:proofErr w:type="spellEnd"/>
      <w:r>
        <w:rPr>
          <w:sz w:val="24"/>
          <w:szCs w:val="24"/>
        </w:rPr>
        <w:t xml:space="preserve"> iron sand is considered the best sand for structural construction. Most projects in East Java use </w:t>
      </w:r>
      <w:proofErr w:type="spellStart"/>
      <w:r>
        <w:rPr>
          <w:sz w:val="24"/>
          <w:szCs w:val="24"/>
        </w:rPr>
        <w:t>Lumajang</w:t>
      </w:r>
      <w:proofErr w:type="spellEnd"/>
      <w:r>
        <w:rPr>
          <w:sz w:val="24"/>
          <w:szCs w:val="24"/>
        </w:rPr>
        <w:t xml:space="preserve"> sand as a building material, with iron content ranging between 48.5% and 50.2%, according to the East Java Provincial Energy and Mineral Resources Office. As a calculation made by the East Java Environment Forum (</w:t>
      </w:r>
      <w:proofErr w:type="spellStart"/>
      <w:r>
        <w:rPr>
          <w:sz w:val="24"/>
          <w:szCs w:val="24"/>
        </w:rPr>
        <w:t>Walhi</w:t>
      </w:r>
      <w:proofErr w:type="spellEnd"/>
      <w:r>
        <w:rPr>
          <w:sz w:val="24"/>
          <w:szCs w:val="24"/>
        </w:rPr>
        <w:t xml:space="preserve">) and the Mining Advocacy Network (Jatam), illegal iron sand mining can have a negative impact on the country. 11.5 trillion in 2011. Overall, every year, </w:t>
      </w:r>
      <w:proofErr w:type="spellStart"/>
      <w:r>
        <w:rPr>
          <w:sz w:val="24"/>
          <w:szCs w:val="24"/>
        </w:rPr>
        <w:t>Walhi</w:t>
      </w:r>
      <w:proofErr w:type="spellEnd"/>
      <w:r>
        <w:rPr>
          <w:sz w:val="24"/>
          <w:szCs w:val="24"/>
        </w:rPr>
        <w:t xml:space="preserve"> transports 6.3 million tons of iron sand from </w:t>
      </w:r>
      <w:proofErr w:type="spellStart"/>
      <w:r>
        <w:rPr>
          <w:sz w:val="24"/>
          <w:szCs w:val="24"/>
        </w:rPr>
        <w:t>Lumajang</w:t>
      </w:r>
      <w:proofErr w:type="spellEnd"/>
      <w:r>
        <w:rPr>
          <w:sz w:val="24"/>
          <w:szCs w:val="24"/>
        </w:rPr>
        <w:t xml:space="preserve"> through around 500 trucks loaded with iron sand, according to research conducted by </w:t>
      </w:r>
      <w:proofErr w:type="spellStart"/>
      <w:r>
        <w:rPr>
          <w:sz w:val="24"/>
          <w:szCs w:val="24"/>
        </w:rPr>
        <w:t>Walhi</w:t>
      </w:r>
      <w:proofErr w:type="spellEnd"/>
      <w:r>
        <w:rPr>
          <w:sz w:val="24"/>
          <w:szCs w:val="24"/>
        </w:rPr>
        <w:t xml:space="preserve"> in the field.  An audit conducted by the Financial and Development Supervisory Agency (BPKP) showed that the price of </w:t>
      </w:r>
      <w:proofErr w:type="spellStart"/>
      <w:r>
        <w:rPr>
          <w:sz w:val="24"/>
          <w:szCs w:val="24"/>
        </w:rPr>
        <w:t>Lumajang</w:t>
      </w:r>
      <w:proofErr w:type="spellEnd"/>
      <w:r>
        <w:rPr>
          <w:sz w:val="24"/>
          <w:szCs w:val="24"/>
        </w:rPr>
        <w:t xml:space="preserve"> iron sand was 36 USD per ton. The country's losses every year reach Rp 2.3 trillion if the rupiah exchange rate against the US dollar is Rp </w:t>
      </w:r>
      <w:proofErr w:type="gramStart"/>
      <w:r>
        <w:rPr>
          <w:sz w:val="24"/>
          <w:szCs w:val="24"/>
        </w:rPr>
        <w:t>10,000,-</w:t>
      </w:r>
      <w:proofErr w:type="gramEnd"/>
      <w:r>
        <w:rPr>
          <w:sz w:val="24"/>
          <w:szCs w:val="24"/>
        </w:rPr>
        <w:t xml:space="preserve">. This loss is equivalent to the </w:t>
      </w:r>
      <w:proofErr w:type="spellStart"/>
      <w:r>
        <w:rPr>
          <w:sz w:val="24"/>
          <w:szCs w:val="24"/>
        </w:rPr>
        <w:t>Lumajang</w:t>
      </w:r>
      <w:proofErr w:type="spellEnd"/>
      <w:r>
        <w:rPr>
          <w:sz w:val="24"/>
          <w:szCs w:val="24"/>
        </w:rPr>
        <w:t xml:space="preserve"> Regional Revenue and Expenditure Budget (APBD) for nine years, with an estimated annual loss of Rp 1.3 trillion. </w:t>
      </w:r>
      <w:proofErr w:type="spellStart"/>
      <w:r>
        <w:rPr>
          <w:sz w:val="24"/>
          <w:szCs w:val="24"/>
        </w:rPr>
        <w:t>Lumajang</w:t>
      </w:r>
      <w:proofErr w:type="spellEnd"/>
      <w:r>
        <w:rPr>
          <w:sz w:val="24"/>
          <w:szCs w:val="24"/>
        </w:rPr>
        <w:t xml:space="preserve"> Regency has the most mining business licenses in Indonesia, according to </w:t>
      </w:r>
      <w:proofErr w:type="spellStart"/>
      <w:r>
        <w:rPr>
          <w:sz w:val="24"/>
          <w:szCs w:val="24"/>
        </w:rPr>
        <w:t>Walhi</w:t>
      </w:r>
      <w:proofErr w:type="spellEnd"/>
      <w:r>
        <w:rPr>
          <w:sz w:val="24"/>
          <w:szCs w:val="24"/>
        </w:rPr>
        <w:t xml:space="preserve"> data. However, the mining sector's PAD continues to decline. Revenue in 2012 reached 5 billion rupiah, but in 2014 it fell to 75 million dollars. It is suspected that the cause is illegal sand mining. However, with Law Number 23 of 2014 concerning Regional Government, the authority to grant mining business licenses has shifted to the provincial government.</w:t>
      </w:r>
    </w:p>
    <w:p w14:paraId="38AE1334" w14:textId="77777777" w:rsidR="008F4C48" w:rsidRDefault="008F4C48" w:rsidP="008F4C48">
      <w:pPr>
        <w:spacing w:after="0" w:line="240" w:lineRule="auto"/>
        <w:jc w:val="both"/>
        <w:rPr>
          <w:sz w:val="24"/>
          <w:szCs w:val="24"/>
        </w:rPr>
      </w:pPr>
    </w:p>
    <w:p w14:paraId="2B473B72" w14:textId="0808122E" w:rsidR="00793586" w:rsidRDefault="00416A73" w:rsidP="008F4C48">
      <w:pPr>
        <w:spacing w:after="0" w:line="240" w:lineRule="auto"/>
        <w:jc w:val="both"/>
        <w:rPr>
          <w:sz w:val="24"/>
          <w:szCs w:val="24"/>
        </w:rPr>
      </w:pPr>
      <w:r>
        <w:rPr>
          <w:sz w:val="24"/>
          <w:szCs w:val="24"/>
        </w:rPr>
        <w:lastRenderedPageBreak/>
        <w:t xml:space="preserve">Coastal sand obtained from mines in the south of </w:t>
      </w:r>
      <w:proofErr w:type="spellStart"/>
      <w:r>
        <w:rPr>
          <w:sz w:val="24"/>
          <w:szCs w:val="24"/>
        </w:rPr>
        <w:t>Lumajang</w:t>
      </w:r>
      <w:proofErr w:type="spellEnd"/>
      <w:r>
        <w:rPr>
          <w:sz w:val="24"/>
          <w:szCs w:val="24"/>
        </w:rPr>
        <w:t xml:space="preserve"> is overexploited by excavators, causing damage in the coastal area of </w:t>
      </w:r>
      <w:proofErr w:type="spellStart"/>
      <w:r>
        <w:rPr>
          <w:sz w:val="24"/>
          <w:szCs w:val="24"/>
        </w:rPr>
        <w:t>Lumajang</w:t>
      </w:r>
      <w:proofErr w:type="spellEnd"/>
      <w:r>
        <w:rPr>
          <w:sz w:val="24"/>
          <w:szCs w:val="24"/>
        </w:rPr>
        <w:t xml:space="preserve"> spread across eight sub-districts. To meet the needs of construction in East Java. </w:t>
      </w:r>
      <w:r>
        <w:rPr>
          <w:sz w:val="24"/>
          <w:szCs w:val="24"/>
        </w:rPr>
        <w:br/>
        <w:t xml:space="preserve">The characteristics of the southern coastal areas, including </w:t>
      </w:r>
      <w:proofErr w:type="spellStart"/>
      <w:r>
        <w:rPr>
          <w:sz w:val="24"/>
          <w:szCs w:val="24"/>
        </w:rPr>
        <w:t>Lumajang</w:t>
      </w:r>
      <w:proofErr w:type="spellEnd"/>
      <w:r>
        <w:rPr>
          <w:sz w:val="24"/>
          <w:szCs w:val="24"/>
        </w:rPr>
        <w:t>, show that they are fertile agricultural areas. However, the number of mining permits granted by the government shows that the land has been intensively changed. Many people convert agricultural land (</w:t>
      </w:r>
      <w:proofErr w:type="spellStart"/>
      <w:r>
        <w:rPr>
          <w:sz w:val="24"/>
          <w:szCs w:val="24"/>
        </w:rPr>
        <w:t>perhutani</w:t>
      </w:r>
      <w:proofErr w:type="spellEnd"/>
      <w:r>
        <w:rPr>
          <w:sz w:val="24"/>
          <w:szCs w:val="24"/>
        </w:rPr>
        <w:t xml:space="preserve">) into mining areas, which is detrimental to farmers because agricultural land is decreasing. The quality of the environment deteriorates rapidly. In spatial planning, </w:t>
      </w:r>
      <w:proofErr w:type="spellStart"/>
      <w:r>
        <w:rPr>
          <w:sz w:val="24"/>
          <w:szCs w:val="24"/>
        </w:rPr>
        <w:t>Lumajang</w:t>
      </w:r>
      <w:proofErr w:type="spellEnd"/>
      <w:r>
        <w:rPr>
          <w:sz w:val="24"/>
          <w:szCs w:val="24"/>
        </w:rPr>
        <w:t xml:space="preserve"> Regency is designated as a disaster-prone zone, including floods and tsunamis, but it is also designated as a mining zone. This indicates that there is an overlap. If this data shows that the state cannot help its people obtain justice through legal services, then several problems will arise, ranging from </w:t>
      </w:r>
      <w:proofErr w:type="spellStart"/>
      <w:r>
        <w:rPr>
          <w:i/>
          <w:sz w:val="24"/>
          <w:szCs w:val="24"/>
        </w:rPr>
        <w:t>eigenrechting</w:t>
      </w:r>
      <w:proofErr w:type="spellEnd"/>
      <w:r>
        <w:rPr>
          <w:sz w:val="24"/>
          <w:szCs w:val="24"/>
        </w:rPr>
        <w:t xml:space="preserve"> to the problem of changing values and differences in cultural values in society, there are even legal differences, namely the difference between the laws set by the national government and the laws practiced by local communities in daily life. In this case, an alternative dispute resolution mechanism, also known as an alternative dispute resolution mechanism, is required. This mechanism must provide a sense of justice and problem solving without making society dependent on a limited legal world. Although rarely used, the mechanism actually has a legal basis and has a precedent. In addition, the mechanism has the potential to </w:t>
      </w:r>
      <w:r>
        <w:t>be more advanced in Indonesia.</w:t>
      </w:r>
    </w:p>
    <w:p w14:paraId="66C05A0E" w14:textId="77777777" w:rsidR="00793586" w:rsidRDefault="00416A73">
      <w:pPr>
        <w:numPr>
          <w:ilvl w:val="0"/>
          <w:numId w:val="1"/>
        </w:numPr>
        <w:pBdr>
          <w:top w:val="nil"/>
          <w:left w:val="nil"/>
          <w:bottom w:val="nil"/>
          <w:right w:val="nil"/>
          <w:between w:val="nil"/>
        </w:pBdr>
        <w:spacing w:after="0"/>
        <w:ind w:left="284" w:hanging="284"/>
        <w:jc w:val="both"/>
        <w:rPr>
          <w:b/>
          <w:color w:val="538135"/>
          <w:sz w:val="28"/>
          <w:szCs w:val="28"/>
        </w:rPr>
      </w:pPr>
      <w:r>
        <w:rPr>
          <w:b/>
          <w:color w:val="538135"/>
          <w:sz w:val="28"/>
          <w:szCs w:val="28"/>
        </w:rPr>
        <w:t>Conclusion</w:t>
      </w:r>
    </w:p>
    <w:p w14:paraId="7C4BBC86" w14:textId="134248F9" w:rsidR="00793586" w:rsidRDefault="00416A73">
      <w:pPr>
        <w:spacing w:after="0"/>
        <w:jc w:val="both"/>
        <w:rPr>
          <w:sz w:val="24"/>
          <w:szCs w:val="24"/>
          <w:lang w:val="id-ID"/>
        </w:rPr>
      </w:pPr>
      <w:r>
        <w:rPr>
          <w:sz w:val="24"/>
          <w:szCs w:val="24"/>
        </w:rPr>
        <w:t xml:space="preserve">From the results of the author's research, it can be concluded that there is still an out-of-court dispute resolution that does not register the peace deed, because this makes there is no permanent and binding legal force. As a result, non-litigation dispute resolution is useless because there is no peace deed so it must be resolved through the courts. The results of the study show that although conflict is a dissociative process that shows opposition, conflict as a social process has benefits for society. This depends not only on the problem, but also on the social structure related to the goals, values, and interests of the conflict. This conflict is expected to change social relations and norms in warring groups according to the needs of each group. In dealing with conflicts, a tolerant perspective is needed to identify the source of the problem that causes the conflict, which allows for stability and integrity in society. Conflict problems are identified gradually in the conflict resolution process. It starts by examining all parties involved in the conflict, the causal factors, as well as their relationships. It is important to describe conflicts based on how they arise so that it is useful to build ways to resolve them. To avoid resolving the problem through legal channels, conflict resolution helps the disputing group make a decision. Conflict resolution is an attempt to resolve a conflict by reaching an agreement between two or more parties. </w:t>
      </w:r>
    </w:p>
    <w:p w14:paraId="0D7E9CFC" w14:textId="77777777" w:rsidR="001A6C34" w:rsidRPr="001A6C34" w:rsidRDefault="001A6C34">
      <w:pPr>
        <w:spacing w:after="0"/>
        <w:jc w:val="both"/>
        <w:rPr>
          <w:b/>
          <w:sz w:val="24"/>
          <w:szCs w:val="24"/>
        </w:rPr>
      </w:pPr>
    </w:p>
    <w:p w14:paraId="008C6109" w14:textId="77777777" w:rsidR="00793586" w:rsidRDefault="00416A73">
      <w:pPr>
        <w:spacing w:after="0"/>
        <w:jc w:val="both"/>
        <w:rPr>
          <w:b/>
          <w:color w:val="538135"/>
          <w:sz w:val="28"/>
          <w:szCs w:val="28"/>
        </w:rPr>
      </w:pPr>
      <w:r>
        <w:rPr>
          <w:b/>
          <w:color w:val="538135"/>
          <w:sz w:val="28"/>
          <w:szCs w:val="28"/>
        </w:rPr>
        <w:t>Reference</w:t>
      </w:r>
    </w:p>
    <w:p w14:paraId="24734F97" w14:textId="77777777" w:rsidR="00793586" w:rsidRDefault="00793586">
      <w:pPr>
        <w:spacing w:after="0"/>
        <w:jc w:val="both"/>
        <w:rPr>
          <w:sz w:val="24"/>
          <w:szCs w:val="24"/>
        </w:rPr>
      </w:pPr>
    </w:p>
    <w:p w14:paraId="76C12BF8" w14:textId="77777777" w:rsidR="00793586" w:rsidRDefault="00416A73">
      <w:pPr>
        <w:spacing w:after="0"/>
        <w:jc w:val="both"/>
        <w:rPr>
          <w:b/>
          <w:sz w:val="24"/>
          <w:szCs w:val="24"/>
          <w:lang w:val="id-ID"/>
        </w:rPr>
      </w:pPr>
      <w:r>
        <w:rPr>
          <w:b/>
          <w:sz w:val="24"/>
          <w:szCs w:val="24"/>
        </w:rPr>
        <w:t>Footnotes:</w:t>
      </w:r>
    </w:p>
    <w:p w14:paraId="2121FC71" w14:textId="61CA6016" w:rsidR="00B128A6" w:rsidRDefault="00B128A6" w:rsidP="00B128A6">
      <w:pPr>
        <w:spacing w:after="0"/>
        <w:ind w:left="720" w:hanging="720"/>
        <w:jc w:val="both"/>
        <w:rPr>
          <w:b/>
          <w:sz w:val="28"/>
          <w:szCs w:val="24"/>
          <w:lang w:val="id-ID"/>
        </w:rPr>
      </w:pPr>
      <w:r w:rsidRPr="00B128A6">
        <w:rPr>
          <w:sz w:val="24"/>
        </w:rPr>
        <w:t xml:space="preserve">Achmad Ali, </w:t>
      </w:r>
      <w:r w:rsidRPr="00B128A6">
        <w:rPr>
          <w:i/>
          <w:sz w:val="24"/>
        </w:rPr>
        <w:t xml:space="preserve">Legal Decline in </w:t>
      </w:r>
      <w:proofErr w:type="spellStart"/>
      <w:r w:rsidRPr="00B128A6">
        <w:rPr>
          <w:i/>
          <w:sz w:val="24"/>
        </w:rPr>
        <w:t>IndonesiaCauses</w:t>
      </w:r>
      <w:proofErr w:type="spellEnd"/>
      <w:r w:rsidRPr="00B128A6">
        <w:rPr>
          <w:i/>
          <w:sz w:val="24"/>
        </w:rPr>
        <w:t xml:space="preserve"> and Solutions,</w:t>
      </w:r>
      <w:r w:rsidRPr="00B128A6">
        <w:rPr>
          <w:sz w:val="24"/>
        </w:rPr>
        <w:t xml:space="preserve"> Jakarta: Ghalia Indonesia, 2002.</w:t>
      </w:r>
    </w:p>
    <w:p w14:paraId="3D4B2C9A" w14:textId="77777777" w:rsidR="00B128A6" w:rsidRPr="00B128A6" w:rsidRDefault="00B128A6" w:rsidP="00B128A6">
      <w:pPr>
        <w:spacing w:after="0"/>
        <w:ind w:left="720" w:hanging="720"/>
        <w:jc w:val="both"/>
        <w:rPr>
          <w:b/>
          <w:sz w:val="28"/>
          <w:szCs w:val="24"/>
          <w:lang w:val="id-ID"/>
        </w:rPr>
      </w:pPr>
    </w:p>
    <w:p w14:paraId="2FDE3B7E" w14:textId="2BD5180A" w:rsidR="00B128A6" w:rsidRPr="00B128A6" w:rsidRDefault="00B128A6" w:rsidP="00B128A6">
      <w:pPr>
        <w:spacing w:after="0"/>
        <w:ind w:left="720" w:hanging="720"/>
        <w:jc w:val="both"/>
        <w:rPr>
          <w:sz w:val="24"/>
          <w:lang w:val="id-ID"/>
        </w:rPr>
      </w:pPr>
      <w:r w:rsidRPr="00B128A6">
        <w:rPr>
          <w:sz w:val="24"/>
        </w:rPr>
        <w:t xml:space="preserve">Charles Himawan, </w:t>
      </w:r>
      <w:r w:rsidRPr="00B128A6">
        <w:rPr>
          <w:i/>
          <w:sz w:val="24"/>
        </w:rPr>
        <w:t>Law as Commander</w:t>
      </w:r>
      <w:r w:rsidRPr="00B128A6">
        <w:rPr>
          <w:sz w:val="24"/>
        </w:rPr>
        <w:t xml:space="preserve">, Jakarta: Kompas Book, 2003. </w:t>
      </w:r>
    </w:p>
    <w:p w14:paraId="5793E485" w14:textId="77777777" w:rsidR="00B128A6" w:rsidRPr="00B128A6" w:rsidRDefault="00B128A6">
      <w:pPr>
        <w:spacing w:after="0"/>
        <w:jc w:val="both"/>
        <w:rPr>
          <w:b/>
          <w:sz w:val="24"/>
          <w:szCs w:val="24"/>
          <w:lang w:val="id-ID"/>
        </w:rPr>
      </w:pPr>
    </w:p>
    <w:p w14:paraId="6BC0C5CF" w14:textId="77777777" w:rsidR="00793586" w:rsidRDefault="00416A73">
      <w:pPr>
        <w:pBdr>
          <w:top w:val="nil"/>
          <w:left w:val="nil"/>
          <w:bottom w:val="nil"/>
          <w:right w:val="nil"/>
          <w:between w:val="nil"/>
        </w:pBdr>
        <w:spacing w:after="0" w:line="240" w:lineRule="auto"/>
        <w:ind w:left="720" w:hanging="720"/>
        <w:rPr>
          <w:color w:val="000000"/>
          <w:sz w:val="24"/>
          <w:szCs w:val="24"/>
          <w:highlight w:val="white"/>
        </w:rPr>
      </w:pPr>
      <w:r>
        <w:rPr>
          <w:color w:val="000000"/>
          <w:sz w:val="24"/>
          <w:szCs w:val="24"/>
          <w:highlight w:val="white"/>
        </w:rPr>
        <w:lastRenderedPageBreak/>
        <w:t xml:space="preserve">Elita Rahmi, </w:t>
      </w:r>
      <w:proofErr w:type="spellStart"/>
      <w:r>
        <w:rPr>
          <w:color w:val="000000"/>
          <w:sz w:val="24"/>
          <w:szCs w:val="24"/>
          <w:highlight w:val="white"/>
        </w:rPr>
        <w:t>Rustian</w:t>
      </w:r>
      <w:proofErr w:type="spellEnd"/>
      <w:r>
        <w:rPr>
          <w:color w:val="000000"/>
          <w:sz w:val="24"/>
          <w:szCs w:val="24"/>
          <w:highlight w:val="white"/>
        </w:rPr>
        <w:t xml:space="preserve"> Mushawirya, Eko Nuriyatman</w:t>
      </w:r>
      <w:r>
        <w:rPr>
          <w:i/>
          <w:color w:val="000000"/>
          <w:sz w:val="24"/>
          <w:szCs w:val="24"/>
          <w:highlight w:val="white"/>
        </w:rPr>
        <w:t xml:space="preserve">, Omnibus Law Prospective </w:t>
      </w:r>
      <w:proofErr w:type="gramStart"/>
      <w:r>
        <w:rPr>
          <w:i/>
          <w:color w:val="000000"/>
          <w:sz w:val="24"/>
          <w:szCs w:val="24"/>
          <w:highlight w:val="white"/>
        </w:rPr>
        <w:t>On</w:t>
      </w:r>
      <w:proofErr w:type="gramEnd"/>
      <w:r>
        <w:rPr>
          <w:i/>
          <w:color w:val="000000"/>
          <w:sz w:val="24"/>
          <w:szCs w:val="24"/>
          <w:highlight w:val="white"/>
        </w:rPr>
        <w:t xml:space="preserve"> Natural Resources</w:t>
      </w:r>
      <w:r>
        <w:rPr>
          <w:color w:val="000000"/>
          <w:sz w:val="24"/>
          <w:szCs w:val="24"/>
          <w:highlight w:val="white"/>
        </w:rPr>
        <w:t>, Journal of Environmental Law Development, Volume 5, Number 2, 2021</w:t>
      </w:r>
    </w:p>
    <w:p w14:paraId="5D719068" w14:textId="77777777" w:rsidR="00793586" w:rsidRDefault="00793586">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68BDC982" w14:textId="77777777" w:rsidR="00793586" w:rsidRDefault="00416A73">
      <w:pPr>
        <w:shd w:val="clear" w:color="auto" w:fill="FFFFFF"/>
        <w:spacing w:after="0" w:line="240" w:lineRule="auto"/>
        <w:ind w:left="720" w:hanging="720"/>
        <w:rPr>
          <w:sz w:val="24"/>
          <w:szCs w:val="24"/>
        </w:rPr>
      </w:pPr>
      <w:r>
        <w:rPr>
          <w:sz w:val="24"/>
          <w:szCs w:val="24"/>
        </w:rPr>
        <w:t xml:space="preserve">Elita Rahmi,  The </w:t>
      </w:r>
      <w:hyperlink r:id="rId14">
        <w:r>
          <w:rPr>
            <w:i/>
            <w:color w:val="000000"/>
            <w:sz w:val="24"/>
            <w:szCs w:val="24"/>
          </w:rPr>
          <w:t>Establishment of a Special Environmental Court in the Context of the Development of Environmental Law Enforcement in Indonesia</w:t>
        </w:r>
      </w:hyperlink>
      <w:r>
        <w:rPr>
          <w:i/>
          <w:sz w:val="24"/>
          <w:szCs w:val="24"/>
        </w:rPr>
        <w:t>,</w:t>
      </w:r>
      <w:r>
        <w:rPr>
          <w:sz w:val="24"/>
          <w:szCs w:val="24"/>
        </w:rPr>
        <w:t xml:space="preserve"> Journal of Natural Resources, Faculty of Law, Hasanuddin University in collaboration with the Indonesian Association of Environmental Law Supervisors, and Pustaka Pena Press, p. 333, 2017</w:t>
      </w:r>
    </w:p>
    <w:p w14:paraId="53E8775D" w14:textId="77777777" w:rsidR="00793586" w:rsidRDefault="00793586">
      <w:pPr>
        <w:shd w:val="clear" w:color="auto" w:fill="FFFFFF"/>
        <w:spacing w:after="0" w:line="240" w:lineRule="auto"/>
        <w:ind w:left="720" w:hanging="720"/>
        <w:rPr>
          <w:rFonts w:ascii="Arial" w:eastAsia="Arial" w:hAnsi="Arial" w:cs="Arial"/>
          <w:color w:val="222222"/>
          <w:sz w:val="24"/>
          <w:szCs w:val="24"/>
        </w:rPr>
      </w:pPr>
    </w:p>
    <w:p w14:paraId="1837FD49" w14:textId="77777777" w:rsidR="00793586" w:rsidRDefault="00416A73">
      <w:pPr>
        <w:pBdr>
          <w:top w:val="nil"/>
          <w:left w:val="nil"/>
          <w:bottom w:val="nil"/>
          <w:right w:val="nil"/>
          <w:between w:val="nil"/>
        </w:pBdr>
        <w:spacing w:after="0" w:line="240" w:lineRule="auto"/>
        <w:ind w:left="720" w:hanging="720"/>
        <w:rPr>
          <w:color w:val="000000"/>
          <w:sz w:val="24"/>
          <w:szCs w:val="24"/>
        </w:rPr>
      </w:pPr>
      <w:proofErr w:type="spellStart"/>
      <w:r>
        <w:rPr>
          <w:color w:val="000000"/>
          <w:sz w:val="24"/>
          <w:szCs w:val="24"/>
        </w:rPr>
        <w:t>Rachmad</w:t>
      </w:r>
      <w:proofErr w:type="spellEnd"/>
      <w:r>
        <w:rPr>
          <w:color w:val="000000"/>
          <w:sz w:val="24"/>
          <w:szCs w:val="24"/>
        </w:rPr>
        <w:t xml:space="preserve"> </w:t>
      </w:r>
      <w:proofErr w:type="spellStart"/>
      <w:r>
        <w:rPr>
          <w:color w:val="000000"/>
          <w:sz w:val="24"/>
          <w:szCs w:val="24"/>
        </w:rPr>
        <w:t>Safa'at</w:t>
      </w:r>
      <w:proofErr w:type="spellEnd"/>
      <w:r>
        <w:rPr>
          <w:color w:val="000000"/>
          <w:sz w:val="24"/>
          <w:szCs w:val="24"/>
        </w:rPr>
        <w:t xml:space="preserve">, 2016, </w:t>
      </w:r>
      <w:r>
        <w:rPr>
          <w:i/>
          <w:color w:val="000000"/>
          <w:sz w:val="24"/>
          <w:szCs w:val="24"/>
        </w:rPr>
        <w:t xml:space="preserve">Advocacy and Alternative Dispute Resolution, </w:t>
      </w:r>
      <w:r>
        <w:rPr>
          <w:color w:val="000000"/>
          <w:sz w:val="24"/>
          <w:szCs w:val="24"/>
        </w:rPr>
        <w:t>Surya Pena Gemilang, Malang.</w:t>
      </w:r>
    </w:p>
    <w:p w14:paraId="36FC8C79" w14:textId="77777777" w:rsidR="00793586" w:rsidRDefault="00793586">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11A5C538" w14:textId="77777777" w:rsidR="00793586" w:rsidRDefault="00416A73">
      <w:pPr>
        <w:pBdr>
          <w:top w:val="nil"/>
          <w:left w:val="nil"/>
          <w:bottom w:val="nil"/>
          <w:right w:val="nil"/>
          <w:between w:val="nil"/>
        </w:pBdr>
        <w:spacing w:after="0" w:line="240" w:lineRule="auto"/>
        <w:ind w:left="720" w:hanging="720"/>
        <w:rPr>
          <w:color w:val="000000"/>
          <w:sz w:val="24"/>
          <w:szCs w:val="24"/>
        </w:rPr>
      </w:pPr>
      <w:proofErr w:type="spellStart"/>
      <w:r>
        <w:rPr>
          <w:color w:val="000000"/>
          <w:sz w:val="24"/>
          <w:szCs w:val="24"/>
        </w:rPr>
        <w:t>Wantu</w:t>
      </w:r>
      <w:proofErr w:type="spellEnd"/>
      <w:r>
        <w:rPr>
          <w:color w:val="000000"/>
          <w:sz w:val="24"/>
          <w:szCs w:val="24"/>
        </w:rPr>
        <w:t xml:space="preserve">, F., Muhtar, M. H., Putri, V. S., </w:t>
      </w:r>
      <w:proofErr w:type="spellStart"/>
      <w:r>
        <w:rPr>
          <w:color w:val="000000"/>
          <w:sz w:val="24"/>
          <w:szCs w:val="24"/>
        </w:rPr>
        <w:t>Thalib</w:t>
      </w:r>
      <w:proofErr w:type="spellEnd"/>
      <w:r>
        <w:rPr>
          <w:color w:val="000000"/>
          <w:sz w:val="24"/>
          <w:szCs w:val="24"/>
        </w:rPr>
        <w:t>, M. C., &amp; Junus, N., "</w:t>
      </w:r>
      <w:r>
        <w:rPr>
          <w:i/>
          <w:color w:val="000000"/>
          <w:sz w:val="24"/>
          <w:szCs w:val="24"/>
        </w:rPr>
        <w:t>The Existence of Mediation as a Form of Environmental Dispute Resolution After the Enactment of the Job Creation Law</w:t>
      </w:r>
      <w:r>
        <w:rPr>
          <w:color w:val="000000"/>
          <w:sz w:val="24"/>
          <w:szCs w:val="24"/>
        </w:rPr>
        <w:t>", Environmental Law Development, Vol. 7 No. 2 (February, 2023) 274</w:t>
      </w:r>
    </w:p>
    <w:p w14:paraId="1F8B9EDB" w14:textId="77777777" w:rsidR="00793586" w:rsidRDefault="00793586">
      <w:pPr>
        <w:pBdr>
          <w:top w:val="nil"/>
          <w:left w:val="nil"/>
          <w:bottom w:val="nil"/>
          <w:right w:val="nil"/>
          <w:between w:val="nil"/>
        </w:pBdr>
        <w:spacing w:after="0" w:line="240" w:lineRule="auto"/>
        <w:ind w:left="720" w:hanging="720"/>
        <w:rPr>
          <w:color w:val="000000"/>
          <w:sz w:val="24"/>
          <w:szCs w:val="24"/>
        </w:rPr>
      </w:pPr>
    </w:p>
    <w:p w14:paraId="4A5A0329" w14:textId="77777777" w:rsidR="00793586" w:rsidRDefault="00416A73">
      <w:pPr>
        <w:pBdr>
          <w:top w:val="nil"/>
          <w:left w:val="nil"/>
          <w:bottom w:val="nil"/>
          <w:right w:val="nil"/>
          <w:between w:val="nil"/>
        </w:pBdr>
        <w:spacing w:after="0" w:line="240" w:lineRule="auto"/>
        <w:ind w:left="720" w:hanging="720"/>
        <w:rPr>
          <w:color w:val="000000"/>
          <w:sz w:val="24"/>
          <w:szCs w:val="24"/>
          <w:highlight w:val="white"/>
        </w:rPr>
      </w:pPr>
      <w:proofErr w:type="spellStart"/>
      <w:r>
        <w:rPr>
          <w:color w:val="000000"/>
          <w:sz w:val="24"/>
          <w:szCs w:val="24"/>
          <w:highlight w:val="white"/>
        </w:rPr>
        <w:t>Soerjono</w:t>
      </w:r>
      <w:proofErr w:type="spellEnd"/>
      <w:r>
        <w:rPr>
          <w:color w:val="000000"/>
          <w:sz w:val="24"/>
          <w:szCs w:val="24"/>
          <w:highlight w:val="white"/>
        </w:rPr>
        <w:t xml:space="preserve"> </w:t>
      </w:r>
      <w:proofErr w:type="spellStart"/>
      <w:r>
        <w:rPr>
          <w:color w:val="000000"/>
          <w:sz w:val="24"/>
          <w:szCs w:val="24"/>
          <w:highlight w:val="white"/>
        </w:rPr>
        <w:t>Soekanto</w:t>
      </w:r>
      <w:proofErr w:type="spellEnd"/>
      <w:r>
        <w:rPr>
          <w:color w:val="000000"/>
          <w:sz w:val="24"/>
          <w:szCs w:val="24"/>
          <w:highlight w:val="white"/>
        </w:rPr>
        <w:t xml:space="preserve"> and Sri Mamudji, 2001, </w:t>
      </w:r>
      <w:r>
        <w:rPr>
          <w:i/>
          <w:color w:val="000000"/>
          <w:sz w:val="24"/>
          <w:szCs w:val="24"/>
          <w:highlight w:val="white"/>
        </w:rPr>
        <w:t>Normative Legal Research (A Brief Review</w:t>
      </w:r>
      <w:r>
        <w:rPr>
          <w:color w:val="000000"/>
          <w:sz w:val="24"/>
          <w:szCs w:val="24"/>
          <w:highlight w:val="white"/>
        </w:rPr>
        <w:t xml:space="preserve">), Jakarta: PT Raja </w:t>
      </w:r>
      <w:proofErr w:type="spellStart"/>
      <w:r>
        <w:rPr>
          <w:color w:val="000000"/>
          <w:sz w:val="24"/>
          <w:szCs w:val="24"/>
          <w:highlight w:val="white"/>
        </w:rPr>
        <w:t>Grafindo</w:t>
      </w:r>
      <w:proofErr w:type="spellEnd"/>
      <w:r>
        <w:rPr>
          <w:color w:val="000000"/>
          <w:sz w:val="24"/>
          <w:szCs w:val="24"/>
          <w:highlight w:val="white"/>
        </w:rPr>
        <w:t xml:space="preserve"> </w:t>
      </w:r>
      <w:proofErr w:type="spellStart"/>
      <w:r>
        <w:rPr>
          <w:color w:val="000000"/>
          <w:sz w:val="24"/>
          <w:szCs w:val="24"/>
          <w:highlight w:val="white"/>
        </w:rPr>
        <w:t>Persada</w:t>
      </w:r>
      <w:proofErr w:type="spellEnd"/>
    </w:p>
    <w:p w14:paraId="7A38204C" w14:textId="77777777" w:rsidR="00793586" w:rsidRDefault="00793586">
      <w:pPr>
        <w:pBdr>
          <w:top w:val="nil"/>
          <w:left w:val="nil"/>
          <w:bottom w:val="nil"/>
          <w:right w:val="nil"/>
          <w:between w:val="nil"/>
        </w:pBdr>
        <w:spacing w:after="0" w:line="240" w:lineRule="auto"/>
        <w:ind w:left="720" w:hanging="720"/>
        <w:rPr>
          <w:color w:val="000000"/>
          <w:sz w:val="24"/>
          <w:szCs w:val="24"/>
        </w:rPr>
      </w:pPr>
    </w:p>
    <w:p w14:paraId="563BECBC" w14:textId="77777777" w:rsidR="00793586" w:rsidRDefault="00416A73">
      <w:pPr>
        <w:spacing w:after="0"/>
        <w:ind w:left="720" w:hanging="720"/>
        <w:rPr>
          <w:sz w:val="24"/>
          <w:szCs w:val="24"/>
        </w:rPr>
      </w:pPr>
      <w:r>
        <w:rPr>
          <w:sz w:val="24"/>
          <w:szCs w:val="24"/>
        </w:rPr>
        <w:t xml:space="preserve">Gunawan Wijaya, 2001, </w:t>
      </w:r>
      <w:r>
        <w:rPr>
          <w:i/>
          <w:sz w:val="24"/>
          <w:szCs w:val="24"/>
        </w:rPr>
        <w:t xml:space="preserve">Alternative Dispute Resolution, </w:t>
      </w:r>
      <w:r>
        <w:rPr>
          <w:sz w:val="24"/>
          <w:szCs w:val="24"/>
        </w:rPr>
        <w:t xml:space="preserve">Radja </w:t>
      </w:r>
      <w:proofErr w:type="spellStart"/>
      <w:r>
        <w:rPr>
          <w:sz w:val="24"/>
          <w:szCs w:val="24"/>
        </w:rPr>
        <w:t>Grafindo</w:t>
      </w:r>
      <w:proofErr w:type="spellEnd"/>
      <w:r>
        <w:rPr>
          <w:sz w:val="24"/>
          <w:szCs w:val="24"/>
        </w:rPr>
        <w:t xml:space="preserve"> Persada, Jakarta, p. 5.</w:t>
      </w:r>
    </w:p>
    <w:p w14:paraId="53F5BC24" w14:textId="77777777" w:rsidR="00793586" w:rsidRDefault="00416A73">
      <w:pPr>
        <w:spacing w:after="0"/>
        <w:ind w:left="720" w:hanging="720"/>
        <w:rPr>
          <w:color w:val="000000"/>
          <w:sz w:val="24"/>
          <w:szCs w:val="24"/>
        </w:rPr>
      </w:pPr>
      <w:r>
        <w:rPr>
          <w:color w:val="000000"/>
          <w:sz w:val="24"/>
          <w:szCs w:val="24"/>
        </w:rPr>
        <w:t>Agnes Grace Aritonang, "</w:t>
      </w:r>
      <w:r>
        <w:rPr>
          <w:i/>
          <w:color w:val="000000"/>
          <w:sz w:val="24"/>
          <w:szCs w:val="24"/>
        </w:rPr>
        <w:t>The Alternative Role of Out-of-Court Dispute Resolution in Environmental Protection and Management</w:t>
      </w:r>
      <w:r>
        <w:rPr>
          <w:color w:val="000000"/>
          <w:sz w:val="24"/>
          <w:szCs w:val="24"/>
        </w:rPr>
        <w:t xml:space="preserve">", </w:t>
      </w:r>
      <w:proofErr w:type="spellStart"/>
      <w:r>
        <w:rPr>
          <w:color w:val="000000"/>
          <w:sz w:val="24"/>
          <w:szCs w:val="24"/>
        </w:rPr>
        <w:t>Crepido</w:t>
      </w:r>
      <w:proofErr w:type="spellEnd"/>
      <w:r>
        <w:rPr>
          <w:color w:val="000000"/>
          <w:sz w:val="24"/>
          <w:szCs w:val="24"/>
        </w:rPr>
        <w:t xml:space="preserve"> Journal, Vol 03 No 1 (July, 2021) </w:t>
      </w:r>
    </w:p>
    <w:p w14:paraId="153F94BC" w14:textId="77777777" w:rsidR="00793586" w:rsidRDefault="00793586">
      <w:pPr>
        <w:spacing w:after="0"/>
        <w:ind w:left="720" w:hanging="720"/>
        <w:rPr>
          <w:color w:val="000000"/>
          <w:sz w:val="24"/>
          <w:szCs w:val="24"/>
        </w:rPr>
      </w:pPr>
    </w:p>
    <w:p w14:paraId="4339BA1A" w14:textId="77777777" w:rsidR="00793586" w:rsidRDefault="00416A73">
      <w:pPr>
        <w:spacing w:after="0"/>
        <w:ind w:left="720" w:hanging="720"/>
        <w:rPr>
          <w:color w:val="222222"/>
          <w:sz w:val="24"/>
          <w:szCs w:val="24"/>
          <w:highlight w:val="white"/>
        </w:rPr>
      </w:pPr>
      <w:r>
        <w:rPr>
          <w:sz w:val="24"/>
          <w:szCs w:val="24"/>
        </w:rPr>
        <w:t xml:space="preserve">Elita </w:t>
      </w:r>
      <w:proofErr w:type="gramStart"/>
      <w:r>
        <w:rPr>
          <w:sz w:val="24"/>
          <w:szCs w:val="24"/>
        </w:rPr>
        <w:t xml:space="preserve">Rahmi, </w:t>
      </w:r>
      <w:r>
        <w:rPr>
          <w:i/>
          <w:sz w:val="24"/>
          <w:szCs w:val="24"/>
        </w:rPr>
        <w:t xml:space="preserve"> Environmental</w:t>
      </w:r>
      <w:proofErr w:type="gramEnd"/>
      <w:r>
        <w:rPr>
          <w:i/>
          <w:sz w:val="24"/>
          <w:szCs w:val="24"/>
        </w:rPr>
        <w:t xml:space="preserve"> Standardization (ISO 26000) as Harmonization of Corporate Social Responsibility and Legal Instruments in Indonesia</w:t>
      </w:r>
      <w:r>
        <w:rPr>
          <w:sz w:val="24"/>
          <w:szCs w:val="24"/>
        </w:rPr>
        <w:t xml:space="preserve">, </w:t>
      </w:r>
      <w:r>
        <w:rPr>
          <w:color w:val="222222"/>
          <w:sz w:val="24"/>
          <w:szCs w:val="24"/>
          <w:highlight w:val="white"/>
        </w:rPr>
        <w:t>Journal of Legal Sciences, Volume 4, Number 5, 2011</w:t>
      </w:r>
    </w:p>
    <w:p w14:paraId="18A54E11" w14:textId="77777777" w:rsidR="00793586" w:rsidRDefault="00793586">
      <w:pPr>
        <w:spacing w:after="0"/>
        <w:ind w:left="720" w:hanging="720"/>
        <w:rPr>
          <w:color w:val="222222"/>
          <w:sz w:val="24"/>
          <w:szCs w:val="24"/>
          <w:highlight w:val="white"/>
        </w:rPr>
      </w:pPr>
    </w:p>
    <w:p w14:paraId="18B094C1" w14:textId="77777777" w:rsidR="00793586" w:rsidRDefault="00416A73">
      <w:pPr>
        <w:spacing w:after="0"/>
        <w:ind w:left="720" w:hanging="720"/>
        <w:rPr>
          <w:sz w:val="24"/>
          <w:szCs w:val="24"/>
        </w:rPr>
      </w:pPr>
      <w:r>
        <w:rPr>
          <w:sz w:val="24"/>
          <w:szCs w:val="24"/>
        </w:rPr>
        <w:t xml:space="preserve">Indah Dwi Qurbani, 2016, A Strategic Study of the Iron Sand Mining Dispute Resolution Mechanism in East Java Province (Case Study in </w:t>
      </w:r>
      <w:proofErr w:type="spellStart"/>
      <w:r>
        <w:rPr>
          <w:sz w:val="24"/>
          <w:szCs w:val="24"/>
        </w:rPr>
        <w:t>Lumajang</w:t>
      </w:r>
      <w:proofErr w:type="spellEnd"/>
      <w:r>
        <w:rPr>
          <w:sz w:val="24"/>
          <w:szCs w:val="24"/>
        </w:rPr>
        <w:t xml:space="preserve"> Regency, Mojokerto Regency and </w:t>
      </w:r>
      <w:proofErr w:type="spellStart"/>
      <w:r>
        <w:rPr>
          <w:sz w:val="24"/>
          <w:szCs w:val="24"/>
        </w:rPr>
        <w:t>Bojonegoro</w:t>
      </w:r>
      <w:proofErr w:type="spellEnd"/>
      <w:r>
        <w:rPr>
          <w:sz w:val="24"/>
          <w:szCs w:val="24"/>
        </w:rPr>
        <w:t xml:space="preserve"> Regency), funded by the East Java Provincial Research and Development Agency, Research Results Report. </w:t>
      </w:r>
    </w:p>
    <w:p w14:paraId="49477AE4" w14:textId="77777777" w:rsidR="00793586" w:rsidRDefault="00793586">
      <w:pPr>
        <w:spacing w:after="0"/>
        <w:ind w:left="720" w:hanging="720"/>
        <w:rPr>
          <w:sz w:val="24"/>
          <w:szCs w:val="24"/>
        </w:rPr>
      </w:pPr>
    </w:p>
    <w:p w14:paraId="5642614E" w14:textId="77777777" w:rsidR="00793586" w:rsidRDefault="00416A73">
      <w:pPr>
        <w:spacing w:after="0"/>
        <w:ind w:left="720" w:hanging="720"/>
        <w:rPr>
          <w:sz w:val="24"/>
          <w:szCs w:val="24"/>
        </w:rPr>
      </w:pPr>
      <w:r>
        <w:rPr>
          <w:sz w:val="24"/>
          <w:szCs w:val="24"/>
        </w:rPr>
        <w:t xml:space="preserve">Tempo.com. 2015, So </w:t>
      </w:r>
      <w:proofErr w:type="gramStart"/>
      <w:r>
        <w:rPr>
          <w:sz w:val="24"/>
          <w:szCs w:val="24"/>
        </w:rPr>
        <w:t>Up</w:t>
      </w:r>
      <w:proofErr w:type="gramEnd"/>
      <w:r>
        <w:rPr>
          <w:sz w:val="24"/>
          <w:szCs w:val="24"/>
        </w:rPr>
        <w:t xml:space="preserve"> for grabs, the potential of </w:t>
      </w:r>
      <w:proofErr w:type="spellStart"/>
      <w:r>
        <w:rPr>
          <w:sz w:val="24"/>
          <w:szCs w:val="24"/>
        </w:rPr>
        <w:t>Lumajang</w:t>
      </w:r>
      <w:proofErr w:type="spellEnd"/>
      <w:r>
        <w:rPr>
          <w:sz w:val="24"/>
          <w:szCs w:val="24"/>
        </w:rPr>
        <w:t xml:space="preserve"> sand is 75 million cubic meters. 2019.</w:t>
      </w:r>
    </w:p>
    <w:p w14:paraId="4B9BDD6E" w14:textId="77777777" w:rsidR="00793586" w:rsidRDefault="00793586">
      <w:pPr>
        <w:spacing w:after="0"/>
        <w:ind w:left="720" w:hanging="720"/>
        <w:jc w:val="both"/>
        <w:rPr>
          <w:sz w:val="24"/>
          <w:szCs w:val="24"/>
        </w:rPr>
      </w:pPr>
    </w:p>
    <w:p w14:paraId="51E5C814" w14:textId="3525E58B" w:rsidR="00F13FF1" w:rsidRPr="00C26CF5" w:rsidRDefault="00F13FF1" w:rsidP="00C26CF5">
      <w:pPr>
        <w:rPr>
          <w:color w:val="538135"/>
          <w:sz w:val="24"/>
          <w:szCs w:val="24"/>
        </w:rPr>
      </w:pPr>
    </w:p>
    <w:sectPr w:rsidR="00F13FF1" w:rsidRPr="00C26CF5" w:rsidSect="0089548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2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8F50" w14:textId="77777777" w:rsidR="001368CA" w:rsidRDefault="001368CA">
      <w:pPr>
        <w:spacing w:after="0" w:line="240" w:lineRule="auto"/>
      </w:pPr>
      <w:r>
        <w:separator/>
      </w:r>
    </w:p>
  </w:endnote>
  <w:endnote w:type="continuationSeparator" w:id="0">
    <w:p w14:paraId="520805B7" w14:textId="77777777" w:rsidR="001368CA" w:rsidRDefault="00136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DB1E92C-FDD4-5F47-B85C-4CC5B5B21394}"/>
  </w:font>
  <w:font w:name="Times New Roman">
    <w:panose1 w:val="02020603050405020304"/>
    <w:charset w:val="00"/>
    <w:family w:val="roman"/>
    <w:pitch w:val="variable"/>
    <w:sig w:usb0="E0002EFF" w:usb1="C000785B" w:usb2="00000009" w:usb3="00000000" w:csb0="000001FF" w:csb1="00000000"/>
    <w:embedRegular r:id="rId2" w:fontKey="{C68DCF81-C71F-B94E-9EF9-4F0B22BAE45A}"/>
  </w:font>
  <w:font w:name="Courier New">
    <w:panose1 w:val="02070309020205020404"/>
    <w:charset w:val="00"/>
    <w:family w:val="modern"/>
    <w:pitch w:val="fixed"/>
    <w:sig w:usb0="E0002AFF" w:usb1="C0007843" w:usb2="00000009" w:usb3="00000000" w:csb0="000001FF" w:csb1="00000000"/>
    <w:embedRegular r:id="rId3" w:fontKey="{E7549DD6-8E7F-324B-8AA5-F814E41ECFCE}"/>
  </w:font>
  <w:font w:name="Wingdings">
    <w:panose1 w:val="05000000000000000000"/>
    <w:charset w:val="4D"/>
    <w:family w:val="decorative"/>
    <w:pitch w:val="variable"/>
    <w:sig w:usb0="00000003" w:usb1="00000000" w:usb2="00000000" w:usb3="00000000" w:csb0="80000001" w:csb1="00000000"/>
    <w:embedRegular r:id="rId4" w:fontKey="{B1335A10-9BC9-7A47-BF4A-8507C705ACE4}"/>
  </w:font>
  <w:font w:name="Calibri">
    <w:panose1 w:val="020F0502020204030204"/>
    <w:charset w:val="00"/>
    <w:family w:val="swiss"/>
    <w:pitch w:val="variable"/>
    <w:sig w:usb0="E4002EFF" w:usb1="C200247B" w:usb2="00000009" w:usb3="00000000" w:csb0="000001FF" w:csb1="00000000"/>
    <w:embedRegular r:id="rId5" w:fontKey="{5E6C3003-2F9D-964B-B8A2-B7A4AF931097}"/>
    <w:embedBold r:id="rId6" w:fontKey="{84E321D7-3659-DC4A-9C1A-C98644523B3B}"/>
    <w:embedItalic r:id="rId7" w:fontKey="{67513B95-4E1A-9C4B-BBBB-CA28E437B404}"/>
  </w:font>
  <w:font w:name="Noto Sans Symbols">
    <w:altName w:val="Calibri"/>
    <w:charset w:val="00"/>
    <w:family w:val="auto"/>
    <w:pitch w:val="default"/>
    <w:embedRegular r:id="rId8" w:fontKey="{7263E0AD-C768-5048-B1DA-12C8F904D9B3}"/>
  </w:font>
  <w:font w:name="Times New Roman Bold">
    <w:altName w:val="Times New Roman"/>
    <w:panose1 w:val="020B0604020202020204"/>
    <w:charset w:val="00"/>
    <w:family w:val="roman"/>
    <w:pitch w:val="variable"/>
    <w:sig w:usb0="E0002AEF" w:usb1="C0007841" w:usb2="00000009" w:usb3="00000000" w:csb0="000001FF" w:csb1="00000000"/>
    <w:embedRegular r:id="rId9" w:fontKey="{1A708396-98E6-AE49-AEC7-43D4893CFBD5}"/>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0" w:fontKey="{B522C04D-5715-9E49-8C6D-D0A29E2EA563}"/>
  </w:font>
  <w:font w:name="Georgia">
    <w:panose1 w:val="02040502050405020303"/>
    <w:charset w:val="00"/>
    <w:family w:val="roman"/>
    <w:pitch w:val="variable"/>
    <w:sig w:usb0="00000287" w:usb1="00000000" w:usb2="00000000" w:usb3="00000000" w:csb0="0000009F" w:csb1="00000000"/>
    <w:embedRegular r:id="rId11" w:fontKey="{2A7EC6B3-FA4F-5146-A2AE-82F53EF273BD}"/>
    <w:embedItalic r:id="rId12" w:fontKey="{E69EBEB2-6209-384B-B6E7-202086CCEBCE}"/>
  </w:font>
  <w:font w:name="Arial">
    <w:panose1 w:val="020B0604020202020204"/>
    <w:charset w:val="00"/>
    <w:family w:val="swiss"/>
    <w:pitch w:val="variable"/>
    <w:sig w:usb0="E0002AFF" w:usb1="C0007843" w:usb2="00000009" w:usb3="00000000" w:csb0="000001FF" w:csb1="00000000"/>
    <w:embedRegular r:id="rId13" w:fontKey="{8BC1E244-31EF-3146-AB53-29C6EA0CF893}"/>
  </w:font>
  <w:font w:name="EB Garamond">
    <w:panose1 w:val="00000500000000000000"/>
    <w:charset w:val="00"/>
    <w:family w:val="auto"/>
    <w:pitch w:val="variable"/>
    <w:sig w:usb0="E00002FF" w:usb1="02000413" w:usb2="00000000" w:usb3="00000000" w:csb0="0000019F" w:csb1="00000000"/>
    <w:embedRegular r:id="rId14" w:fontKey="{6D526F54-F452-3548-A3D7-CC666643AB99}"/>
    <w:embedBold r:id="rId15" w:fontKey="{1F3D60E2-E16B-964F-BF42-A9A12A196497}"/>
    <w:embedItalic r:id="rId16" w:fontKey="{C71F5611-E130-174D-BD1F-E3FF7CAD7641}"/>
    <w:embedBoldItalic r:id="rId17" w:fontKey="{46307A36-32F2-7D46-8C13-6435B7757913}"/>
  </w:font>
  <w:font w:name="Calibri Light">
    <w:panose1 w:val="020F0302020204030204"/>
    <w:charset w:val="00"/>
    <w:family w:val="swiss"/>
    <w:pitch w:val="variable"/>
    <w:sig w:usb0="E4002EFF" w:usb1="C200247B" w:usb2="00000009" w:usb3="00000000" w:csb0="000001FF" w:csb1="00000000"/>
    <w:embedRegular r:id="rId18" w:fontKey="{78C57530-1E46-7F4A-B028-982AB3CCB4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20AA" w14:textId="77777777" w:rsidR="00793586" w:rsidRDefault="00416A73">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67D91">
      <w:rPr>
        <w:noProof/>
        <w:color w:val="000000"/>
      </w:rPr>
      <w:t>6</w:t>
    </w:r>
    <w:r>
      <w:rPr>
        <w:color w:val="000000"/>
      </w:rPr>
      <w:fldChar w:fldCharType="end"/>
    </w:r>
    <w:r>
      <w:rPr>
        <w:noProof/>
      </w:rPr>
      <mc:AlternateContent>
        <mc:Choice Requires="wps">
          <w:drawing>
            <wp:anchor distT="0" distB="0" distL="114300" distR="114300" simplePos="0" relativeHeight="251678720" behindDoc="0" locked="0" layoutInCell="1" hidden="0" allowOverlap="1" wp14:anchorId="6434B500" wp14:editId="5510B7E9">
              <wp:simplePos x="0" y="0"/>
              <wp:positionH relativeFrom="column">
                <wp:posOffset>2717800</wp:posOffset>
              </wp:positionH>
              <wp:positionV relativeFrom="paragraph">
                <wp:posOffset>0</wp:posOffset>
              </wp:positionV>
              <wp:extent cx="295275" cy="257175"/>
              <wp:effectExtent l="0" t="0" r="0" b="0"/>
              <wp:wrapNone/>
              <wp:docPr id="235" name="Rectangle 235"/>
              <wp:cNvGraphicFramePr/>
              <a:graphic xmlns:a="http://schemas.openxmlformats.org/drawingml/2006/main">
                <a:graphicData uri="http://schemas.microsoft.com/office/word/2010/wordprocessingShape">
                  <wps:wsp>
                    <wps:cNvSpPr/>
                    <wps:spPr>
                      <a:xfrm>
                        <a:off x="5203125" y="3656175"/>
                        <a:ext cx="285750" cy="247650"/>
                      </a:xfrm>
                      <a:prstGeom prst="rect">
                        <a:avLst/>
                      </a:prstGeom>
                      <a:noFill/>
                      <a:ln w="9525" cap="flat" cmpd="sng">
                        <a:solidFill>
                          <a:schemeClr val="dk1"/>
                        </a:solidFill>
                        <a:prstDash val="solid"/>
                        <a:round/>
                        <a:headEnd type="none" w="sm" len="sm"/>
                        <a:tailEnd type="none" w="sm" len="sm"/>
                      </a:ln>
                    </wps:spPr>
                    <wps:txbx>
                      <w:txbxContent>
                        <w:p w14:paraId="7A3F20F8" w14:textId="77777777" w:rsidR="00793586" w:rsidRDefault="0079358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434B500" id="Rectangle 235" o:spid="_x0000_s1026" style="position:absolute;left:0;text-align:left;margin-left:214pt;margin-top:0;width:23.25pt;height:20.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" filled="f" strokecolor="black [3200]">
              <v:stroke startarrowwidth="narrow" startarrowlength="short" endarrowwidth="narrow" endarrowlength="short" joinstyle="round"/>
              <v:textbox inset="2.53958mm,2.53958mm,2.53958mm,2.53958mm">
                <w:txbxContent>
                  <w:p w14:paraId="7A3F20F8" w14:textId="77777777" w:rsidR="00793586" w:rsidRDefault="00793586">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9744" behindDoc="0" locked="0" layoutInCell="1" hidden="0" allowOverlap="1" wp14:anchorId="7D6C4998" wp14:editId="3E505843">
              <wp:simplePos x="0" y="0"/>
              <wp:positionH relativeFrom="column">
                <wp:posOffset>3048000</wp:posOffset>
              </wp:positionH>
              <wp:positionV relativeFrom="paragraph">
                <wp:posOffset>0</wp:posOffset>
              </wp:positionV>
              <wp:extent cx="1438275" cy="257175"/>
              <wp:effectExtent l="0" t="0" r="0" b="0"/>
              <wp:wrapNone/>
              <wp:docPr id="227" name="Rectangle 227"/>
              <wp:cNvGraphicFramePr/>
              <a:graphic xmlns:a="http://schemas.openxmlformats.org/drawingml/2006/main">
                <a:graphicData uri="http://schemas.microsoft.com/office/word/2010/wordprocessingShape">
                  <wps:wsp>
                    <wps:cNvSpPr/>
                    <wps:spPr>
                      <a:xfrm>
                        <a:off x="4631625" y="3656175"/>
                        <a:ext cx="1428750" cy="247650"/>
                      </a:xfrm>
                      <a:prstGeom prst="rect">
                        <a:avLst/>
                      </a:prstGeom>
                      <a:noFill/>
                      <a:ln w="9525" cap="flat" cmpd="sng">
                        <a:solidFill>
                          <a:schemeClr val="dk1"/>
                        </a:solidFill>
                        <a:prstDash val="solid"/>
                        <a:round/>
                        <a:headEnd type="none" w="sm" len="sm"/>
                        <a:tailEnd type="none" w="sm" len="sm"/>
                      </a:ln>
                    </wps:spPr>
                    <wps:txbx>
                      <w:txbxContent>
                        <w:p w14:paraId="6680E2FA" w14:textId="77777777" w:rsidR="00793586" w:rsidRDefault="00416A73">
                          <w:pPr>
                            <w:spacing w:line="258" w:lineRule="auto"/>
                            <w:jc w:val="center"/>
                            <w:textDirection w:val="btLr"/>
                          </w:pPr>
                          <w:r>
                            <w:rPr>
                              <w:i/>
                              <w:color w:val="000000"/>
                            </w:rPr>
                            <w:t>Communal Journal</w:t>
                          </w:r>
                        </w:p>
                      </w:txbxContent>
                    </wps:txbx>
                    <wps:bodyPr spcFirstLastPara="1" wrap="square" lIns="91425" tIns="45700" rIns="91425" bIns="45700" anchor="ctr" anchorCtr="0">
                      <a:noAutofit/>
                    </wps:bodyPr>
                  </wps:wsp>
                </a:graphicData>
              </a:graphic>
            </wp:anchor>
          </w:drawing>
        </mc:Choice>
        <mc:Fallback>
          <w:pict>
            <v:rect w14:anchorId="7D6C4998" id="Rectangle 227" o:spid="_x0000_s1027" style="position:absolute;left:0;text-align:left;margin-left:240pt;margin-top:0;width:113.25pt;height:20.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" filled="f" strokecolor="black [3200]">
              <v:stroke startarrowwidth="narrow" startarrowlength="short" endarrowwidth="narrow" endarrowlength="short" joinstyle="round"/>
              <v:textbox inset="2.53958mm,1.2694mm,2.53958mm,1.2694mm">
                <w:txbxContent>
                  <w:p w14:paraId="6680E2FA" w14:textId="77777777" w:rsidR="00793586" w:rsidRDefault="00416A73">
                    <w:pPr>
                      <w:spacing w:line="258" w:lineRule="auto"/>
                      <w:jc w:val="center"/>
                      <w:textDirection w:val="btLr"/>
                    </w:pPr>
                    <w:r>
                      <w:rPr>
                        <w:i/>
                        <w:color w:val="000000"/>
                      </w:rPr>
                      <w:t>Communal Journal</w:t>
                    </w:r>
                  </w:p>
                </w:txbxContent>
              </v:textbox>
            </v:rect>
          </w:pict>
        </mc:Fallback>
      </mc:AlternateContent>
    </w:r>
    <w:r>
      <w:rPr>
        <w:noProof/>
      </w:rPr>
      <mc:AlternateContent>
        <mc:Choice Requires="wps">
          <w:drawing>
            <wp:anchor distT="0" distB="0" distL="114300" distR="114300" simplePos="0" relativeHeight="251680768" behindDoc="0" locked="0" layoutInCell="1" hidden="0" allowOverlap="1" wp14:anchorId="2B56C88D" wp14:editId="3B588444">
              <wp:simplePos x="0" y="0"/>
              <wp:positionH relativeFrom="column">
                <wp:posOffset>-25399</wp:posOffset>
              </wp:positionH>
              <wp:positionV relativeFrom="paragraph">
                <wp:posOffset>0</wp:posOffset>
              </wp:positionV>
              <wp:extent cx="2743200" cy="257175"/>
              <wp:effectExtent l="0" t="0" r="0" b="0"/>
              <wp:wrapNone/>
              <wp:docPr id="241" name="Rectangle 241"/>
              <wp:cNvGraphicFramePr/>
              <a:graphic xmlns:a="http://schemas.openxmlformats.org/drawingml/2006/main">
                <a:graphicData uri="http://schemas.microsoft.com/office/word/2010/wordprocessingShape">
                  <wps:wsp>
                    <wps:cNvSpPr/>
                    <wps:spPr>
                      <a:xfrm>
                        <a:off x="3979163" y="3656175"/>
                        <a:ext cx="2733675" cy="247650"/>
                      </a:xfrm>
                      <a:prstGeom prst="rect">
                        <a:avLst/>
                      </a:prstGeom>
                      <a:noFill/>
                      <a:ln w="9525" cap="flat" cmpd="sng">
                        <a:solidFill>
                          <a:schemeClr val="dk1"/>
                        </a:solidFill>
                        <a:prstDash val="solid"/>
                        <a:round/>
                        <a:headEnd type="none" w="sm" len="sm"/>
                        <a:tailEnd type="none" w="sm" len="sm"/>
                      </a:ln>
                    </wps:spPr>
                    <wps:txbx>
                      <w:txbxContent>
                        <w:p w14:paraId="350DBEEB" w14:textId="77777777" w:rsidR="00793586" w:rsidRDefault="00416A73">
                          <w:pPr>
                            <w:spacing w:line="258" w:lineRule="auto"/>
                            <w:jc w:val="center"/>
                            <w:textDirection w:val="btLr"/>
                          </w:pPr>
                          <w:r>
                            <w:rPr>
                              <w:i/>
                              <w:color w:val="000000"/>
                            </w:rPr>
                            <w:t>https://online-journal.unja.ac.id/communale</w:t>
                          </w:r>
                        </w:p>
                      </w:txbxContent>
                    </wps:txbx>
                    <wps:bodyPr spcFirstLastPara="1" wrap="square" lIns="91425" tIns="45700" rIns="91425" bIns="45700" anchor="ctr" anchorCtr="0">
                      <a:noAutofit/>
                    </wps:bodyPr>
                  </wps:wsp>
                </a:graphicData>
              </a:graphic>
            </wp:anchor>
          </w:drawing>
        </mc:Choice>
        <mc:Fallback>
          <w:pict>
            <v:rect w14:anchorId="2B56C88D" id="Rectangle 241" o:spid="_x0000_s1028" style="position:absolute;left:0;text-align:left;margin-left:-2pt;margin-top:0;width:3in;height:20.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" filled="f" strokecolor="black [3200]">
              <v:stroke startarrowwidth="narrow" startarrowlength="short" endarrowwidth="narrow" endarrowlength="short" joinstyle="round"/>
              <v:textbox inset="2.53958mm,1.2694mm,2.53958mm,1.2694mm">
                <w:txbxContent>
                  <w:p w14:paraId="350DBEEB" w14:textId="77777777" w:rsidR="00793586" w:rsidRDefault="00416A73">
                    <w:pPr>
                      <w:spacing w:line="258" w:lineRule="auto"/>
                      <w:jc w:val="center"/>
                      <w:textDirection w:val="btLr"/>
                    </w:pPr>
                    <w:r>
                      <w:rPr>
                        <w:i/>
                        <w:color w:val="000000"/>
                      </w:rPr>
                      <w:t>https://online-journal.unja.ac.id/communale</w:t>
                    </w:r>
                  </w:p>
                </w:txbxContent>
              </v:textbox>
            </v:rect>
          </w:pict>
        </mc:Fallback>
      </mc:AlternateContent>
    </w:r>
    <w:r>
      <w:rPr>
        <w:noProof/>
      </w:rPr>
      <mc:AlternateContent>
        <mc:Choice Requires="wps">
          <w:drawing>
            <wp:anchor distT="0" distB="0" distL="114300" distR="114300" simplePos="0" relativeHeight="251681792" behindDoc="0" locked="0" layoutInCell="1" hidden="0" allowOverlap="1" wp14:anchorId="4DD703A3" wp14:editId="4CB36360">
              <wp:simplePos x="0" y="0"/>
              <wp:positionH relativeFrom="column">
                <wp:posOffset>901700</wp:posOffset>
              </wp:positionH>
              <wp:positionV relativeFrom="paragraph">
                <wp:posOffset>1498600</wp:posOffset>
              </wp:positionV>
              <wp:extent cx="0" cy="19050"/>
              <wp:effectExtent l="0" t="0" r="0" b="0"/>
              <wp:wrapNone/>
              <wp:docPr id="229" name="Straight Arrow Connector 229"/>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type w14:anchorId="569C6312" id="_x0000_t32" coordsize="21600,21600" o:spt="32" o:oned="t" path="m,l21600,21600e" filled="f">
              <v:path arrowok="t" fillok="f" o:connecttype="none"/>
              <o:lock v:ext="edit" shapetype="t"/>
            </v:shapetype>
            <v:shape id="Straight Arrow Connector 229" o:spid="_x0000_s1026" type="#_x0000_t32" style="position:absolute;margin-left:71pt;margin-top:118pt;width:0;height: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82816" behindDoc="0" locked="0" layoutInCell="1" hidden="0" allowOverlap="1" wp14:anchorId="18F82794" wp14:editId="03131A1B">
              <wp:simplePos x="0" y="0"/>
              <wp:positionH relativeFrom="column">
                <wp:posOffset>901700</wp:posOffset>
              </wp:positionH>
              <wp:positionV relativeFrom="paragraph">
                <wp:posOffset>1536700</wp:posOffset>
              </wp:positionV>
              <wp:extent cx="0" cy="19050"/>
              <wp:effectExtent l="0" t="0" r="0" b="0"/>
              <wp:wrapNone/>
              <wp:docPr id="222" name="Straight Arrow Connector 222"/>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2E99DE7A" id="Straight Arrow Connector 222" o:spid="_x0000_s1026" type="#_x0000_t32" style="position:absolute;margin-left:71pt;margin-top:121pt;width:0;height:1.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83840" behindDoc="0" locked="0" layoutInCell="1" hidden="0" allowOverlap="1" wp14:anchorId="0EDD4046" wp14:editId="58F77554">
              <wp:simplePos x="0" y="0"/>
              <wp:positionH relativeFrom="column">
                <wp:posOffset>1</wp:posOffset>
              </wp:positionH>
              <wp:positionV relativeFrom="paragraph">
                <wp:posOffset>-279399</wp:posOffset>
              </wp:positionV>
              <wp:extent cx="0" cy="19050"/>
              <wp:effectExtent l="0" t="0" r="0" b="0"/>
              <wp:wrapNone/>
              <wp:docPr id="232" name="Straight Arrow Connector 232"/>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4B32A704" id="Straight Arrow Connector 232" o:spid="_x0000_s1026" type="#_x0000_t32" style="position:absolute;margin-left:0;margin-top:-22pt;width:0;height: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84864" behindDoc="0" locked="0" layoutInCell="1" hidden="0" allowOverlap="1" wp14:anchorId="285CF554" wp14:editId="113C5AE1">
              <wp:simplePos x="0" y="0"/>
              <wp:positionH relativeFrom="column">
                <wp:posOffset>1</wp:posOffset>
              </wp:positionH>
              <wp:positionV relativeFrom="paragraph">
                <wp:posOffset>-228599</wp:posOffset>
              </wp:positionV>
              <wp:extent cx="0" cy="19050"/>
              <wp:effectExtent l="0" t="0" r="0" b="0"/>
              <wp:wrapNone/>
              <wp:docPr id="231" name="Straight Arrow Connector 231"/>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3F619F7E" id="Straight Arrow Connector 231" o:spid="_x0000_s1026" type="#_x0000_t32" style="position:absolute;margin-left:0;margin-top:-18pt;width:0;height:1.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" strokecolor="#70ad47 [3209]" strokeweight="1.5pt">
              <v:stroke startarrowwidth="narrow" startarrowlength="short" endarrowwidth="narrow" endarrowlength="short" joinstyle="miter"/>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616B" w14:textId="77777777" w:rsidR="00793586" w:rsidRDefault="00416A73">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63360" behindDoc="0" locked="0" layoutInCell="1" hidden="0" allowOverlap="1" wp14:anchorId="53772887" wp14:editId="1D5AA520">
              <wp:simplePos x="0" y="0"/>
              <wp:positionH relativeFrom="column">
                <wp:posOffset>1</wp:posOffset>
              </wp:positionH>
              <wp:positionV relativeFrom="paragraph">
                <wp:posOffset>12700</wp:posOffset>
              </wp:positionV>
              <wp:extent cx="0" cy="19050"/>
              <wp:effectExtent l="0" t="0" r="0" b="0"/>
              <wp:wrapNone/>
              <wp:docPr id="218" name="Straight Arrow Connector 218"/>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type w14:anchorId="2C0FAEEF" id="_x0000_t32" coordsize="21600,21600" o:spt="32" o:oned="t" path="m,l21600,21600e" filled="f">
              <v:path arrowok="t" fillok="f" o:connecttype="none"/>
              <o:lock v:ext="edit" shapetype="t"/>
            </v:shapetype>
            <v:shape id="Straight Arrow Connector 218" o:spid="_x0000_s1026" type="#_x0000_t32" style="position:absolute;margin-left:0;margin-top:1pt;width:0;height:1.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64384" behindDoc="0" locked="0" layoutInCell="1" hidden="0" allowOverlap="1" wp14:anchorId="397D8D8C" wp14:editId="20AC144B">
              <wp:simplePos x="0" y="0"/>
              <wp:positionH relativeFrom="column">
                <wp:posOffset>1</wp:posOffset>
              </wp:positionH>
              <wp:positionV relativeFrom="paragraph">
                <wp:posOffset>50800</wp:posOffset>
              </wp:positionV>
              <wp:extent cx="0" cy="19050"/>
              <wp:effectExtent l="0" t="0" r="0" b="0"/>
              <wp:wrapNone/>
              <wp:docPr id="221" name="Straight Arrow Connector 221"/>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72B5BB24" id="Straight Arrow Connector 221" o:spid="_x0000_s1026" type="#_x0000_t32" style="position:absolute;margin-left:0;margin-top:4pt;width:0;height: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65408" behindDoc="0" locked="0" layoutInCell="1" hidden="0" allowOverlap="1" wp14:anchorId="04935253" wp14:editId="22C9DBCC">
              <wp:simplePos x="0" y="0"/>
              <wp:positionH relativeFrom="column">
                <wp:posOffset>1244600</wp:posOffset>
              </wp:positionH>
              <wp:positionV relativeFrom="paragraph">
                <wp:posOffset>152400</wp:posOffset>
              </wp:positionV>
              <wp:extent cx="1438275" cy="257175"/>
              <wp:effectExtent l="0" t="0" r="0" b="0"/>
              <wp:wrapNone/>
              <wp:docPr id="226" name="Rectangle 226"/>
              <wp:cNvGraphicFramePr/>
              <a:graphic xmlns:a="http://schemas.openxmlformats.org/drawingml/2006/main">
                <a:graphicData uri="http://schemas.microsoft.com/office/word/2010/wordprocessingShape">
                  <wps:wsp>
                    <wps:cNvSpPr/>
                    <wps:spPr>
                      <a:xfrm>
                        <a:off x="4631625" y="3656175"/>
                        <a:ext cx="1428750" cy="247650"/>
                      </a:xfrm>
                      <a:prstGeom prst="rect">
                        <a:avLst/>
                      </a:prstGeom>
                      <a:noFill/>
                      <a:ln w="9525" cap="flat" cmpd="sng">
                        <a:solidFill>
                          <a:schemeClr val="dk1"/>
                        </a:solidFill>
                        <a:prstDash val="solid"/>
                        <a:round/>
                        <a:headEnd type="none" w="sm" len="sm"/>
                        <a:tailEnd type="none" w="sm" len="sm"/>
                      </a:ln>
                    </wps:spPr>
                    <wps:txbx>
                      <w:txbxContent>
                        <w:p w14:paraId="70FA22E9" w14:textId="77777777" w:rsidR="00793586" w:rsidRDefault="00416A73">
                          <w:pPr>
                            <w:spacing w:line="258" w:lineRule="auto"/>
                            <w:jc w:val="center"/>
                            <w:textDirection w:val="btLr"/>
                          </w:pPr>
                          <w:r>
                            <w:rPr>
                              <w:i/>
                              <w:color w:val="000000"/>
                            </w:rPr>
                            <w:t>Communal Journal</w:t>
                          </w:r>
                        </w:p>
                      </w:txbxContent>
                    </wps:txbx>
                    <wps:bodyPr spcFirstLastPara="1" wrap="square" lIns="91425" tIns="45700" rIns="91425" bIns="45700" anchor="ctr" anchorCtr="0">
                      <a:noAutofit/>
                    </wps:bodyPr>
                  </wps:wsp>
                </a:graphicData>
              </a:graphic>
            </wp:anchor>
          </w:drawing>
        </mc:Choice>
        <mc:Fallback>
          <w:pict>
            <v:rect w14:anchorId="04935253" id="Rectangle 226" o:spid="_x0000_s1029" style="position:absolute;margin-left:98pt;margin-top:12pt;width:113.25pt;height:20.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" filled="f" strokecolor="black [3200]">
              <v:stroke startarrowwidth="narrow" startarrowlength="short" endarrowwidth="narrow" endarrowlength="short" joinstyle="round"/>
              <v:textbox inset="2.53958mm,1.2694mm,2.53958mm,1.2694mm">
                <w:txbxContent>
                  <w:p w14:paraId="70FA22E9" w14:textId="77777777" w:rsidR="00793586" w:rsidRDefault="00416A73">
                    <w:pPr>
                      <w:spacing w:line="258" w:lineRule="auto"/>
                      <w:jc w:val="center"/>
                      <w:textDirection w:val="btLr"/>
                    </w:pPr>
                    <w:r>
                      <w:rPr>
                        <w:i/>
                        <w:color w:val="000000"/>
                      </w:rPr>
                      <w:t>Communal Journal</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3501E9F1" wp14:editId="25788B4F">
              <wp:simplePos x="0" y="0"/>
              <wp:positionH relativeFrom="column">
                <wp:posOffset>2717800</wp:posOffset>
              </wp:positionH>
              <wp:positionV relativeFrom="paragraph">
                <wp:posOffset>152400</wp:posOffset>
              </wp:positionV>
              <wp:extent cx="295275" cy="257175"/>
              <wp:effectExtent l="0" t="0" r="0" b="0"/>
              <wp:wrapNone/>
              <wp:docPr id="239" name="Rectangle 239"/>
              <wp:cNvGraphicFramePr/>
              <a:graphic xmlns:a="http://schemas.openxmlformats.org/drawingml/2006/main">
                <a:graphicData uri="http://schemas.microsoft.com/office/word/2010/wordprocessingShape">
                  <wps:wsp>
                    <wps:cNvSpPr/>
                    <wps:spPr>
                      <a:xfrm>
                        <a:off x="5203125" y="3656175"/>
                        <a:ext cx="285750" cy="247650"/>
                      </a:xfrm>
                      <a:prstGeom prst="rect">
                        <a:avLst/>
                      </a:prstGeom>
                      <a:noFill/>
                      <a:ln w="9525" cap="flat" cmpd="sng">
                        <a:solidFill>
                          <a:schemeClr val="dk1"/>
                        </a:solidFill>
                        <a:prstDash val="solid"/>
                        <a:round/>
                        <a:headEnd type="none" w="sm" len="sm"/>
                        <a:tailEnd type="none" w="sm" len="sm"/>
                      </a:ln>
                    </wps:spPr>
                    <wps:txbx>
                      <w:txbxContent>
                        <w:p w14:paraId="54F87434" w14:textId="77777777" w:rsidR="00793586" w:rsidRDefault="0079358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501E9F1" id="Rectangle 239" o:spid="_x0000_s1030" style="position:absolute;margin-left:214pt;margin-top:12pt;width:23.25pt;height:20.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" filled="f" strokecolor="black [3200]">
              <v:stroke startarrowwidth="narrow" startarrowlength="short" endarrowwidth="narrow" endarrowlength="short" joinstyle="round"/>
              <v:textbox inset="2.53958mm,2.53958mm,2.53958mm,2.53958mm">
                <w:txbxContent>
                  <w:p w14:paraId="54F87434" w14:textId="77777777" w:rsidR="00793586" w:rsidRDefault="00793586">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1C85177D" wp14:editId="38E2DC52">
              <wp:simplePos x="0" y="0"/>
              <wp:positionH relativeFrom="column">
                <wp:posOffset>3022600</wp:posOffset>
              </wp:positionH>
              <wp:positionV relativeFrom="paragraph">
                <wp:posOffset>152400</wp:posOffset>
              </wp:positionV>
              <wp:extent cx="2743200" cy="257175"/>
              <wp:effectExtent l="0" t="0" r="0" b="0"/>
              <wp:wrapNone/>
              <wp:docPr id="233" name="Rectangle 233"/>
              <wp:cNvGraphicFramePr/>
              <a:graphic xmlns:a="http://schemas.openxmlformats.org/drawingml/2006/main">
                <a:graphicData uri="http://schemas.microsoft.com/office/word/2010/wordprocessingShape">
                  <wps:wsp>
                    <wps:cNvSpPr/>
                    <wps:spPr>
                      <a:xfrm>
                        <a:off x="3979163" y="3656175"/>
                        <a:ext cx="2733675" cy="247650"/>
                      </a:xfrm>
                      <a:prstGeom prst="rect">
                        <a:avLst/>
                      </a:prstGeom>
                      <a:noFill/>
                      <a:ln w="9525" cap="flat" cmpd="sng">
                        <a:solidFill>
                          <a:schemeClr val="dk1"/>
                        </a:solidFill>
                        <a:prstDash val="solid"/>
                        <a:round/>
                        <a:headEnd type="none" w="sm" len="sm"/>
                        <a:tailEnd type="none" w="sm" len="sm"/>
                      </a:ln>
                    </wps:spPr>
                    <wps:txbx>
                      <w:txbxContent>
                        <w:p w14:paraId="32F99CA2" w14:textId="77777777" w:rsidR="00793586" w:rsidRDefault="00416A73">
                          <w:pPr>
                            <w:spacing w:line="258" w:lineRule="auto"/>
                            <w:jc w:val="center"/>
                            <w:textDirection w:val="btLr"/>
                          </w:pPr>
                          <w:r>
                            <w:rPr>
                              <w:i/>
                              <w:color w:val="000000"/>
                            </w:rPr>
                            <w:t>https://online-journal.unja.ac.id/communale</w:t>
                          </w:r>
                        </w:p>
                      </w:txbxContent>
                    </wps:txbx>
                    <wps:bodyPr spcFirstLastPara="1" wrap="square" lIns="91425" tIns="45700" rIns="91425" bIns="45700" anchor="ctr" anchorCtr="0">
                      <a:noAutofit/>
                    </wps:bodyPr>
                  </wps:wsp>
                </a:graphicData>
              </a:graphic>
            </wp:anchor>
          </w:drawing>
        </mc:Choice>
        <mc:Fallback>
          <w:pict>
            <v:rect w14:anchorId="1C85177D" id="Rectangle 233" o:spid="_x0000_s1031" style="position:absolute;margin-left:238pt;margin-top:12pt;width:3in;height:20.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" filled="f" strokecolor="black [3200]">
              <v:stroke startarrowwidth="narrow" startarrowlength="short" endarrowwidth="narrow" endarrowlength="short" joinstyle="round"/>
              <v:textbox inset="2.53958mm,1.2694mm,2.53958mm,1.2694mm">
                <w:txbxContent>
                  <w:p w14:paraId="32F99CA2" w14:textId="77777777" w:rsidR="00793586" w:rsidRDefault="00416A73">
                    <w:pPr>
                      <w:spacing w:line="258" w:lineRule="auto"/>
                      <w:jc w:val="center"/>
                      <w:textDirection w:val="btLr"/>
                    </w:pPr>
                    <w:r>
                      <w:rPr>
                        <w:i/>
                        <w:color w:val="000000"/>
                      </w:rPr>
                      <w:t>https://online-journal.unja.ac.id/communale</w:t>
                    </w:r>
                  </w:p>
                </w:txbxContent>
              </v:textbox>
            </v:rect>
          </w:pict>
        </mc:Fallback>
      </mc:AlternateContent>
    </w:r>
  </w:p>
  <w:p w14:paraId="2ADDE7F7" w14:textId="481FE3D9" w:rsidR="00793586" w:rsidRDefault="00416A73">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67D91">
      <w:rPr>
        <w:noProof/>
        <w:color w:val="000000"/>
      </w:rPr>
      <w:t>7</w:t>
    </w:r>
    <w:r>
      <w:rPr>
        <w:color w:val="000000"/>
      </w:rPr>
      <w:fldChar w:fldCharType="end"/>
    </w:r>
  </w:p>
  <w:p w14:paraId="1E18BB03" w14:textId="77777777" w:rsidR="00793586" w:rsidRDefault="0079358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F5DA" w14:textId="77777777" w:rsidR="00793586" w:rsidRDefault="00416A73">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68480" behindDoc="0" locked="0" layoutInCell="1" hidden="0" allowOverlap="1" wp14:anchorId="4B025243" wp14:editId="331AAA49">
          <wp:simplePos x="0" y="0"/>
          <wp:positionH relativeFrom="column">
            <wp:posOffset>4530725</wp:posOffset>
          </wp:positionH>
          <wp:positionV relativeFrom="paragraph">
            <wp:posOffset>-4444</wp:posOffset>
          </wp:positionV>
          <wp:extent cx="571500" cy="612824"/>
          <wp:effectExtent l="0" t="0" r="0" b="0"/>
          <wp:wrapNone/>
          <wp:docPr id="2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1500" cy="612824"/>
                  </a:xfrm>
                  <a:prstGeom prst="rect">
                    <a:avLst/>
                  </a:prstGeom>
                  <a:ln/>
                </pic:spPr>
              </pic:pic>
            </a:graphicData>
          </a:graphic>
        </wp:anchor>
      </w:drawing>
    </w:r>
    <w:r>
      <w:rPr>
        <w:noProof/>
      </w:rPr>
      <mc:AlternateContent>
        <mc:Choice Requires="wps">
          <w:drawing>
            <wp:anchor distT="0" distB="0" distL="114300" distR="114300" simplePos="0" relativeHeight="251669504" behindDoc="0" locked="0" layoutInCell="1" hidden="0" allowOverlap="1" wp14:anchorId="2103731C" wp14:editId="1C63C2AE">
              <wp:simplePos x="0" y="0"/>
              <wp:positionH relativeFrom="column">
                <wp:posOffset>901700</wp:posOffset>
              </wp:positionH>
              <wp:positionV relativeFrom="paragraph">
                <wp:posOffset>1498600</wp:posOffset>
              </wp:positionV>
              <wp:extent cx="0" cy="19050"/>
              <wp:effectExtent l="0" t="0" r="0" b="0"/>
              <wp:wrapNone/>
              <wp:docPr id="219" name="Straight Arrow Connector 219"/>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type w14:anchorId="5653E239" id="_x0000_t32" coordsize="21600,21600" o:spt="32" o:oned="t" path="m,l21600,21600e" filled="f">
              <v:path arrowok="t" fillok="f" o:connecttype="none"/>
              <o:lock v:ext="edit" shapetype="t"/>
            </v:shapetype>
            <v:shape id="Straight Arrow Connector 219" o:spid="_x0000_s1026" type="#_x0000_t32" style="position:absolute;margin-left:71pt;margin-top:118pt;width:0;height: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70528" behindDoc="0" locked="0" layoutInCell="1" hidden="0" allowOverlap="1" wp14:anchorId="3A3047F5" wp14:editId="69454510">
              <wp:simplePos x="0" y="0"/>
              <wp:positionH relativeFrom="column">
                <wp:posOffset>901700</wp:posOffset>
              </wp:positionH>
              <wp:positionV relativeFrom="paragraph">
                <wp:posOffset>1536700</wp:posOffset>
              </wp:positionV>
              <wp:extent cx="0" cy="19050"/>
              <wp:effectExtent l="0" t="0" r="0" b="0"/>
              <wp:wrapNone/>
              <wp:docPr id="225" name="Straight Arrow Connector 225"/>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34F84D26" id="Straight Arrow Connector 225" o:spid="_x0000_s1026" type="#_x0000_t32" style="position:absolute;margin-left:71pt;margin-top:121pt;width:0;height: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71552" behindDoc="0" locked="0" layoutInCell="1" hidden="0" allowOverlap="1" wp14:anchorId="21776675" wp14:editId="7CA262B4">
              <wp:simplePos x="0" y="0"/>
              <wp:positionH relativeFrom="column">
                <wp:posOffset>1054100</wp:posOffset>
              </wp:positionH>
              <wp:positionV relativeFrom="paragraph">
                <wp:posOffset>1651000</wp:posOffset>
              </wp:positionV>
              <wp:extent cx="0" cy="19050"/>
              <wp:effectExtent l="0" t="0" r="0" b="0"/>
              <wp:wrapNone/>
              <wp:docPr id="238" name="Straight Arrow Connector 238"/>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2170CB92" id="Straight Arrow Connector 238" o:spid="_x0000_s1026" type="#_x0000_t32" style="position:absolute;margin-left:83pt;margin-top:130pt;width:0;height:1.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72576" behindDoc="0" locked="0" layoutInCell="1" hidden="0" allowOverlap="1" wp14:anchorId="7CB1892D" wp14:editId="41E871DE">
              <wp:simplePos x="0" y="0"/>
              <wp:positionH relativeFrom="column">
                <wp:posOffset>1054100</wp:posOffset>
              </wp:positionH>
              <wp:positionV relativeFrom="paragraph">
                <wp:posOffset>1689100</wp:posOffset>
              </wp:positionV>
              <wp:extent cx="0" cy="19050"/>
              <wp:effectExtent l="0" t="0" r="0" b="0"/>
              <wp:wrapNone/>
              <wp:docPr id="228" name="Straight Arrow Connector 228"/>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32EFE13B" id="Straight Arrow Connector 228" o:spid="_x0000_s1026" type="#_x0000_t32" style="position:absolute;margin-left:83pt;margin-top:133pt;width:0;height:1.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73600" behindDoc="0" locked="0" layoutInCell="1" hidden="0" allowOverlap="1" wp14:anchorId="0D65287E" wp14:editId="7CCF3140">
              <wp:simplePos x="0" y="0"/>
              <wp:positionH relativeFrom="column">
                <wp:posOffset>1206500</wp:posOffset>
              </wp:positionH>
              <wp:positionV relativeFrom="paragraph">
                <wp:posOffset>1803400</wp:posOffset>
              </wp:positionV>
              <wp:extent cx="0" cy="19050"/>
              <wp:effectExtent l="0" t="0" r="0" b="0"/>
              <wp:wrapNone/>
              <wp:docPr id="230" name="Straight Arrow Connector 230"/>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6F1D124D" id="Straight Arrow Connector 230" o:spid="_x0000_s1026" type="#_x0000_t32" style="position:absolute;margin-left:95pt;margin-top:142pt;width:0;height:1.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74624" behindDoc="0" locked="0" layoutInCell="1" hidden="0" allowOverlap="1" wp14:anchorId="33A16F65" wp14:editId="533B3501">
              <wp:simplePos x="0" y="0"/>
              <wp:positionH relativeFrom="column">
                <wp:posOffset>1206500</wp:posOffset>
              </wp:positionH>
              <wp:positionV relativeFrom="paragraph">
                <wp:posOffset>1841500</wp:posOffset>
              </wp:positionV>
              <wp:extent cx="0" cy="19050"/>
              <wp:effectExtent l="0" t="0" r="0" b="0"/>
              <wp:wrapNone/>
              <wp:docPr id="240" name="Straight Arrow Connector 240"/>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51D0184E" id="Straight Arrow Connector 240" o:spid="_x0000_s1026" type="#_x0000_t32" style="position:absolute;margin-left:95pt;margin-top:145pt;width:0;height: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75648" behindDoc="0" locked="0" layoutInCell="1" hidden="0" allowOverlap="1" wp14:anchorId="216D53DD" wp14:editId="7A36F95B">
              <wp:simplePos x="0" y="0"/>
              <wp:positionH relativeFrom="column">
                <wp:posOffset>1</wp:posOffset>
              </wp:positionH>
              <wp:positionV relativeFrom="paragraph">
                <wp:posOffset>-63499</wp:posOffset>
              </wp:positionV>
              <wp:extent cx="0" cy="19050"/>
              <wp:effectExtent l="0" t="0" r="0" b="0"/>
              <wp:wrapNone/>
              <wp:docPr id="224" name="Straight Arrow Connector 224"/>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1A309EE7" id="Straight Arrow Connector 224" o:spid="_x0000_s1026" type="#_x0000_t32" style="position:absolute;margin-left:0;margin-top:-5pt;width:0;height: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76672" behindDoc="0" locked="0" layoutInCell="1" hidden="0" allowOverlap="1" wp14:anchorId="2A09217B" wp14:editId="3B562441">
              <wp:simplePos x="0" y="0"/>
              <wp:positionH relativeFrom="column">
                <wp:posOffset>1</wp:posOffset>
              </wp:positionH>
              <wp:positionV relativeFrom="paragraph">
                <wp:posOffset>-114299</wp:posOffset>
              </wp:positionV>
              <wp:extent cx="0" cy="19050"/>
              <wp:effectExtent l="0" t="0" r="0" b="0"/>
              <wp:wrapNone/>
              <wp:docPr id="220" name="Straight Arrow Connector 220"/>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624CEC15" id="Straight Arrow Connector 220" o:spid="_x0000_s1026" type="#_x0000_t32" style="position:absolute;margin-left:0;margin-top:-9pt;width:0;height: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" strokecolor="#70ad47 [3209]" strokeweight="1.5pt">
              <v:stroke startarrowwidth="narrow" startarrowlength="short" endarrowwidth="narrow" endarrowlength="short" joinstyle="miter"/>
            </v:shape>
          </w:pict>
        </mc:Fallback>
      </mc:AlternateContent>
    </w:r>
  </w:p>
  <w:p w14:paraId="79286C8E" w14:textId="77777777" w:rsidR="00793586" w:rsidRDefault="00416A73">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45720" distB="45720" distL="114300" distR="114300" simplePos="0" relativeHeight="251677696" behindDoc="0" locked="0" layoutInCell="1" hidden="0" allowOverlap="1" wp14:anchorId="72B9B0C5" wp14:editId="58BF69A1">
              <wp:simplePos x="0" y="0"/>
              <wp:positionH relativeFrom="column">
                <wp:posOffset>5029200</wp:posOffset>
              </wp:positionH>
              <wp:positionV relativeFrom="paragraph">
                <wp:posOffset>7621</wp:posOffset>
              </wp:positionV>
              <wp:extent cx="1819275" cy="1414145"/>
              <wp:effectExtent l="0" t="0" r="0" b="0"/>
              <wp:wrapSquare wrapText="bothSides" distT="45720" distB="45720" distL="114300" distR="114300"/>
              <wp:docPr id="236" name="Rectangle 236"/>
              <wp:cNvGraphicFramePr/>
              <a:graphic xmlns:a="http://schemas.openxmlformats.org/drawingml/2006/main">
                <a:graphicData uri="http://schemas.microsoft.com/office/word/2010/wordprocessingShape">
                  <wps:wsp>
                    <wps:cNvSpPr/>
                    <wps:spPr>
                      <a:xfrm>
                        <a:off x="4441125" y="3077690"/>
                        <a:ext cx="1809750" cy="1404620"/>
                      </a:xfrm>
                      <a:prstGeom prst="rect">
                        <a:avLst/>
                      </a:prstGeom>
                      <a:noFill/>
                      <a:ln>
                        <a:noFill/>
                      </a:ln>
                    </wps:spPr>
                    <wps:txbx>
                      <w:txbxContent>
                        <w:p w14:paraId="29C573EB" w14:textId="77777777" w:rsidR="00793586" w:rsidRDefault="00416A73">
                          <w:pPr>
                            <w:spacing w:line="258" w:lineRule="auto"/>
                            <w:textDirection w:val="btLr"/>
                          </w:pPr>
                          <w:r>
                            <w:rPr>
                              <w:rFonts w:ascii="EB Garamond" w:eastAsia="EB Garamond" w:hAnsi="EB Garamond" w:cs="EB Garamond"/>
                              <w:color w:val="000000"/>
                              <w:sz w:val="28"/>
                            </w:rPr>
                            <w:t>Communal Journal</w:t>
                          </w:r>
                        </w:p>
                      </w:txbxContent>
                    </wps:txbx>
                    <wps:bodyPr spcFirstLastPara="1" wrap="square" lIns="91425" tIns="45700" rIns="91425" bIns="45700" anchor="t" anchorCtr="0">
                      <a:noAutofit/>
                    </wps:bodyPr>
                  </wps:wsp>
                </a:graphicData>
              </a:graphic>
            </wp:anchor>
          </w:drawing>
        </mc:Choice>
        <mc:Fallback>
          <w:pict>
            <v:rect w14:anchorId="72B9B0C5" id="Rectangle 236" o:spid="_x0000_s1034" style="position:absolute;margin-left:396pt;margin-top:.6pt;width:143.25pt;height:111.35pt;z-index:2516776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" filled="f" stroked="f">
              <v:textbox inset="2.53958mm,1.2694mm,2.53958mm,1.2694mm">
                <w:txbxContent>
                  <w:p w14:paraId="29C573EB" w14:textId="77777777" w:rsidR="00793586" w:rsidRDefault="00416A73">
                    <w:pPr>
                      <w:spacing w:line="258" w:lineRule="auto"/>
                      <w:textDirection w:val="btLr"/>
                    </w:pPr>
                    <w:r>
                      <w:rPr>
                        <w:rFonts w:ascii="EB Garamond" w:eastAsia="EB Garamond" w:hAnsi="EB Garamond" w:cs="EB Garamond"/>
                        <w:color w:val="000000"/>
                        <w:sz w:val="28"/>
                      </w:rPr>
                      <w:t>Communal Journal</w:t>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1FC9F" w14:textId="77777777" w:rsidR="001368CA" w:rsidRDefault="001368CA">
      <w:pPr>
        <w:spacing w:after="0" w:line="240" w:lineRule="auto"/>
      </w:pPr>
      <w:r>
        <w:separator/>
      </w:r>
    </w:p>
  </w:footnote>
  <w:footnote w:type="continuationSeparator" w:id="0">
    <w:p w14:paraId="315C99A4" w14:textId="77777777" w:rsidR="001368CA" w:rsidRDefault="001368CA">
      <w:pPr>
        <w:spacing w:after="0" w:line="240" w:lineRule="auto"/>
      </w:pPr>
      <w:r>
        <w:continuationSeparator/>
      </w:r>
    </w:p>
  </w:footnote>
  <w:footnote w:id="1">
    <w:p w14:paraId="42442D44" w14:textId="48E9EEAD" w:rsidR="00793586" w:rsidRDefault="00416A73">
      <w:pPr>
        <w:pBdr>
          <w:top w:val="nil"/>
          <w:left w:val="nil"/>
          <w:bottom w:val="nil"/>
          <w:right w:val="nil"/>
          <w:between w:val="nil"/>
        </w:pBdr>
        <w:spacing w:after="0" w:line="240" w:lineRule="auto"/>
        <w:ind w:firstLine="567"/>
        <w:rPr>
          <w:rFonts w:ascii="Times New Roman" w:eastAsia="Times New Roman" w:hAnsi="Times New Roman" w:cs="Times New Roman"/>
          <w:color w:val="000000"/>
          <w:sz w:val="20"/>
          <w:szCs w:val="20"/>
        </w:rPr>
      </w:pPr>
      <w:r>
        <w:rPr>
          <w:rStyle w:val="ReferensiCatatanKaki"/>
        </w:rPr>
        <w:footnoteRef/>
      </w:r>
      <w:r>
        <w:rPr>
          <w:color w:val="000000"/>
          <w:sz w:val="20"/>
          <w:szCs w:val="20"/>
          <w:highlight w:val="white"/>
        </w:rPr>
        <w:t xml:space="preserve">Elita Rahmi, </w:t>
      </w:r>
      <w:proofErr w:type="spellStart"/>
      <w:r>
        <w:rPr>
          <w:color w:val="000000"/>
          <w:sz w:val="20"/>
          <w:szCs w:val="20"/>
          <w:highlight w:val="white"/>
        </w:rPr>
        <w:t>Rustian</w:t>
      </w:r>
      <w:proofErr w:type="spellEnd"/>
      <w:r>
        <w:rPr>
          <w:color w:val="000000"/>
          <w:sz w:val="20"/>
          <w:szCs w:val="20"/>
          <w:highlight w:val="white"/>
        </w:rPr>
        <w:t xml:space="preserve"> Mushawirya, Eko Nuriyatman</w:t>
      </w:r>
      <w:r>
        <w:rPr>
          <w:i/>
          <w:color w:val="000000"/>
          <w:sz w:val="20"/>
          <w:szCs w:val="20"/>
          <w:highlight w:val="white"/>
        </w:rPr>
        <w:t xml:space="preserve">, Omnibus Law Prospective </w:t>
      </w:r>
      <w:proofErr w:type="gramStart"/>
      <w:r>
        <w:rPr>
          <w:i/>
          <w:color w:val="000000"/>
          <w:sz w:val="20"/>
          <w:szCs w:val="20"/>
          <w:highlight w:val="white"/>
        </w:rPr>
        <w:t>On</w:t>
      </w:r>
      <w:proofErr w:type="gramEnd"/>
      <w:r w:rsidR="00126903">
        <w:rPr>
          <w:i/>
          <w:color w:val="000000"/>
          <w:sz w:val="20"/>
          <w:szCs w:val="20"/>
          <w:highlight w:val="white"/>
        </w:rPr>
        <w:t xml:space="preserve"> </w:t>
      </w:r>
      <w:r>
        <w:rPr>
          <w:i/>
          <w:color w:val="000000"/>
          <w:sz w:val="20"/>
          <w:szCs w:val="20"/>
          <w:highlight w:val="white"/>
        </w:rPr>
        <w:t>Natural Resources</w:t>
      </w:r>
      <w:r>
        <w:rPr>
          <w:color w:val="000000"/>
          <w:sz w:val="20"/>
          <w:szCs w:val="20"/>
          <w:highlight w:val="white"/>
        </w:rPr>
        <w:t>, Journal of Environmental Law Development, Volume 5, Number 2, 2021</w:t>
      </w:r>
    </w:p>
  </w:footnote>
  <w:footnote w:id="2">
    <w:p w14:paraId="4C895322" w14:textId="77777777" w:rsidR="00793586" w:rsidRDefault="00416A73">
      <w:pPr>
        <w:shd w:val="clear" w:color="auto" w:fill="FFFFFF"/>
        <w:spacing w:after="0" w:line="240" w:lineRule="auto"/>
        <w:ind w:firstLine="567"/>
        <w:jc w:val="both"/>
        <w:rPr>
          <w:rFonts w:ascii="Arial" w:eastAsia="Arial" w:hAnsi="Arial" w:cs="Arial"/>
          <w:color w:val="222222"/>
          <w:sz w:val="20"/>
          <w:szCs w:val="20"/>
        </w:rPr>
      </w:pPr>
      <w:r>
        <w:rPr>
          <w:rStyle w:val="ReferensiCatatanKaki"/>
        </w:rPr>
        <w:footnoteRef/>
      </w:r>
      <w:r>
        <w:rPr>
          <w:sz w:val="20"/>
          <w:szCs w:val="20"/>
        </w:rPr>
        <w:t xml:space="preserve">Elita Rahmi,  The </w:t>
      </w:r>
      <w:hyperlink r:id="rId1">
        <w:r>
          <w:rPr>
            <w:i/>
            <w:color w:val="000000"/>
            <w:sz w:val="20"/>
            <w:szCs w:val="20"/>
          </w:rPr>
          <w:t>Establishment of a Special Environmental Court in the Context of the Development of Environmental Law Enforcement in Indonesia</w:t>
        </w:r>
      </w:hyperlink>
      <w:r>
        <w:rPr>
          <w:i/>
          <w:sz w:val="20"/>
          <w:szCs w:val="20"/>
        </w:rPr>
        <w:t>,</w:t>
      </w:r>
      <w:r>
        <w:rPr>
          <w:sz w:val="20"/>
          <w:szCs w:val="20"/>
        </w:rPr>
        <w:t xml:space="preserve"> Journal of Natural Resources, Faculty of Law, Hasanuddin University in collaboration with the Indonesian Association of Environmental Law Supervisors, and Pustaka Pena Press, p. 333, 2017</w:t>
      </w:r>
    </w:p>
  </w:footnote>
  <w:footnote w:id="3">
    <w:p w14:paraId="4B47197D" w14:textId="77777777" w:rsidR="00793586" w:rsidRDefault="00416A7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Style w:val="ReferensiCatatanKaki"/>
        </w:rPr>
        <w:footnoteRef/>
      </w:r>
      <w:proofErr w:type="spellStart"/>
      <w:r>
        <w:rPr>
          <w:color w:val="000000"/>
          <w:sz w:val="20"/>
          <w:szCs w:val="20"/>
        </w:rPr>
        <w:t>Rachmad</w:t>
      </w:r>
      <w:proofErr w:type="spellEnd"/>
      <w:r>
        <w:rPr>
          <w:color w:val="000000"/>
          <w:sz w:val="20"/>
          <w:szCs w:val="20"/>
        </w:rPr>
        <w:t xml:space="preserve"> </w:t>
      </w:r>
      <w:proofErr w:type="spellStart"/>
      <w:r>
        <w:rPr>
          <w:color w:val="000000"/>
          <w:sz w:val="20"/>
          <w:szCs w:val="20"/>
        </w:rPr>
        <w:t>Safa'at</w:t>
      </w:r>
      <w:proofErr w:type="spellEnd"/>
      <w:r>
        <w:rPr>
          <w:color w:val="000000"/>
          <w:sz w:val="20"/>
          <w:szCs w:val="20"/>
        </w:rPr>
        <w:t xml:space="preserve">, 2016, </w:t>
      </w:r>
      <w:r>
        <w:rPr>
          <w:i/>
          <w:color w:val="000000"/>
          <w:sz w:val="20"/>
          <w:szCs w:val="20"/>
        </w:rPr>
        <w:t xml:space="preserve">Advocacy and Alternative Dispute Resolution, </w:t>
      </w:r>
      <w:r>
        <w:rPr>
          <w:color w:val="000000"/>
          <w:sz w:val="20"/>
          <w:szCs w:val="20"/>
        </w:rPr>
        <w:t>Surya Pena Gemilang, Malang, p. 137</w:t>
      </w:r>
    </w:p>
  </w:footnote>
  <w:footnote w:id="4">
    <w:p w14:paraId="01A9BDF6" w14:textId="77777777" w:rsidR="00793586" w:rsidRDefault="00416A73">
      <w:pPr>
        <w:pBdr>
          <w:top w:val="nil"/>
          <w:left w:val="nil"/>
          <w:bottom w:val="nil"/>
          <w:right w:val="nil"/>
          <w:between w:val="nil"/>
        </w:pBdr>
        <w:spacing w:after="0" w:line="240" w:lineRule="auto"/>
        <w:ind w:firstLine="567"/>
        <w:rPr>
          <w:color w:val="000000"/>
          <w:sz w:val="20"/>
          <w:szCs w:val="20"/>
        </w:rPr>
      </w:pPr>
      <w:r>
        <w:rPr>
          <w:rStyle w:val="ReferensiCatatanKaki"/>
        </w:rPr>
        <w:footnoteRef/>
      </w:r>
      <w:proofErr w:type="spellStart"/>
      <w:r>
        <w:rPr>
          <w:color w:val="000000"/>
          <w:sz w:val="20"/>
          <w:szCs w:val="20"/>
        </w:rPr>
        <w:t>Wantu</w:t>
      </w:r>
      <w:proofErr w:type="spellEnd"/>
      <w:r>
        <w:rPr>
          <w:color w:val="000000"/>
          <w:sz w:val="20"/>
          <w:szCs w:val="20"/>
        </w:rPr>
        <w:t xml:space="preserve">, F., Muhtar, M. H., Putri, V. S., </w:t>
      </w:r>
      <w:proofErr w:type="spellStart"/>
      <w:r>
        <w:rPr>
          <w:color w:val="000000"/>
          <w:sz w:val="20"/>
          <w:szCs w:val="20"/>
        </w:rPr>
        <w:t>Thalib</w:t>
      </w:r>
      <w:proofErr w:type="spellEnd"/>
      <w:r>
        <w:rPr>
          <w:color w:val="000000"/>
          <w:sz w:val="20"/>
          <w:szCs w:val="20"/>
        </w:rPr>
        <w:t>, M. C., &amp; Junus, N., "</w:t>
      </w:r>
      <w:r>
        <w:rPr>
          <w:i/>
          <w:color w:val="000000"/>
          <w:sz w:val="20"/>
          <w:szCs w:val="20"/>
        </w:rPr>
        <w:t>The Existence of Mediation as a Form of Environmental Dispute Resolution After the Enactment of the Job Creation Law</w:t>
      </w:r>
      <w:r>
        <w:rPr>
          <w:color w:val="000000"/>
          <w:sz w:val="20"/>
          <w:szCs w:val="20"/>
        </w:rPr>
        <w:t>", Environmental Law Development, Vol. 7 No. 2 (February, 2023) 274</w:t>
      </w:r>
    </w:p>
  </w:footnote>
  <w:footnote w:id="5">
    <w:p w14:paraId="67E928E8" w14:textId="77777777" w:rsidR="00793586" w:rsidRDefault="00416A73">
      <w:pPr>
        <w:pBdr>
          <w:top w:val="nil"/>
          <w:left w:val="nil"/>
          <w:bottom w:val="nil"/>
          <w:right w:val="nil"/>
          <w:between w:val="nil"/>
        </w:pBdr>
        <w:spacing w:after="0" w:line="240" w:lineRule="auto"/>
        <w:ind w:firstLine="567"/>
        <w:rPr>
          <w:color w:val="000000"/>
          <w:sz w:val="20"/>
          <w:szCs w:val="20"/>
        </w:rPr>
      </w:pPr>
      <w:r>
        <w:rPr>
          <w:rStyle w:val="ReferensiCatatanKaki"/>
        </w:rPr>
        <w:footnoteRef/>
      </w:r>
      <w:proofErr w:type="spellStart"/>
      <w:r>
        <w:rPr>
          <w:color w:val="000000"/>
          <w:sz w:val="20"/>
          <w:szCs w:val="20"/>
          <w:highlight w:val="white"/>
        </w:rPr>
        <w:t>Soerjono</w:t>
      </w:r>
      <w:proofErr w:type="spellEnd"/>
      <w:r>
        <w:rPr>
          <w:color w:val="000000"/>
          <w:sz w:val="20"/>
          <w:szCs w:val="20"/>
          <w:highlight w:val="white"/>
        </w:rPr>
        <w:t xml:space="preserve"> </w:t>
      </w:r>
      <w:proofErr w:type="spellStart"/>
      <w:r>
        <w:rPr>
          <w:color w:val="000000"/>
          <w:sz w:val="20"/>
          <w:szCs w:val="20"/>
          <w:highlight w:val="white"/>
        </w:rPr>
        <w:t>Soekanto</w:t>
      </w:r>
      <w:proofErr w:type="spellEnd"/>
      <w:r>
        <w:rPr>
          <w:color w:val="000000"/>
          <w:sz w:val="20"/>
          <w:szCs w:val="20"/>
          <w:highlight w:val="white"/>
        </w:rPr>
        <w:t xml:space="preserve"> and Sri Mamudji, 2001, </w:t>
      </w:r>
      <w:r>
        <w:rPr>
          <w:i/>
          <w:color w:val="000000"/>
          <w:sz w:val="20"/>
          <w:szCs w:val="20"/>
          <w:highlight w:val="white"/>
        </w:rPr>
        <w:t>Normative Legal Research (A Brief Review</w:t>
      </w:r>
      <w:r>
        <w:rPr>
          <w:color w:val="000000"/>
          <w:sz w:val="20"/>
          <w:szCs w:val="20"/>
          <w:highlight w:val="white"/>
        </w:rPr>
        <w:t xml:space="preserve">), Jakarta: PT Raja </w:t>
      </w:r>
      <w:proofErr w:type="spellStart"/>
      <w:r>
        <w:rPr>
          <w:color w:val="000000"/>
          <w:sz w:val="20"/>
          <w:szCs w:val="20"/>
          <w:highlight w:val="white"/>
        </w:rPr>
        <w:t>Grafindo</w:t>
      </w:r>
      <w:proofErr w:type="spellEnd"/>
      <w:r>
        <w:rPr>
          <w:color w:val="000000"/>
          <w:sz w:val="20"/>
          <w:szCs w:val="20"/>
          <w:highlight w:val="white"/>
        </w:rPr>
        <w:t xml:space="preserve"> </w:t>
      </w:r>
      <w:proofErr w:type="spellStart"/>
      <w:r>
        <w:rPr>
          <w:color w:val="000000"/>
          <w:sz w:val="20"/>
          <w:szCs w:val="20"/>
          <w:highlight w:val="white"/>
        </w:rPr>
        <w:t>Persada</w:t>
      </w:r>
      <w:proofErr w:type="spellEnd"/>
    </w:p>
  </w:footnote>
  <w:footnote w:id="6">
    <w:p w14:paraId="76D3425E" w14:textId="77777777" w:rsidR="00793586" w:rsidRDefault="00416A73">
      <w:pPr>
        <w:pBdr>
          <w:top w:val="nil"/>
          <w:left w:val="nil"/>
          <w:bottom w:val="nil"/>
          <w:right w:val="nil"/>
          <w:between w:val="nil"/>
        </w:pBdr>
        <w:spacing w:after="0" w:line="240" w:lineRule="auto"/>
        <w:ind w:firstLine="567"/>
        <w:rPr>
          <w:rFonts w:ascii="Times New Roman" w:eastAsia="Times New Roman" w:hAnsi="Times New Roman" w:cs="Times New Roman"/>
          <w:color w:val="000000"/>
          <w:sz w:val="20"/>
          <w:szCs w:val="20"/>
        </w:rPr>
      </w:pPr>
      <w:r>
        <w:rPr>
          <w:rStyle w:val="ReferensiCatatanKaki"/>
        </w:rPr>
        <w:footnoteRef/>
      </w:r>
      <w:r>
        <w:rPr>
          <w:color w:val="000000"/>
          <w:sz w:val="20"/>
          <w:szCs w:val="20"/>
        </w:rPr>
        <w:t xml:space="preserve">Gunawan Wijaya, 2001, </w:t>
      </w:r>
      <w:r>
        <w:rPr>
          <w:i/>
          <w:color w:val="000000"/>
          <w:sz w:val="20"/>
          <w:szCs w:val="20"/>
        </w:rPr>
        <w:t xml:space="preserve">Alternative Dispute Resolution, </w:t>
      </w:r>
      <w:r>
        <w:rPr>
          <w:color w:val="000000"/>
          <w:sz w:val="20"/>
          <w:szCs w:val="20"/>
        </w:rPr>
        <w:t xml:space="preserve">Radja </w:t>
      </w:r>
      <w:proofErr w:type="spellStart"/>
      <w:r>
        <w:rPr>
          <w:color w:val="000000"/>
          <w:sz w:val="20"/>
          <w:szCs w:val="20"/>
        </w:rPr>
        <w:t>Grafindo</w:t>
      </w:r>
      <w:proofErr w:type="spellEnd"/>
      <w:r>
        <w:rPr>
          <w:color w:val="000000"/>
          <w:sz w:val="20"/>
          <w:szCs w:val="20"/>
        </w:rPr>
        <w:t xml:space="preserve"> Persada, Jakarta, p. 5.</w:t>
      </w:r>
    </w:p>
  </w:footnote>
  <w:footnote w:id="7">
    <w:p w14:paraId="311E488F" w14:textId="24316056" w:rsidR="00FD2B94" w:rsidRPr="00FD2B94" w:rsidRDefault="00FD2B94" w:rsidP="00FD2B94">
      <w:pPr>
        <w:pStyle w:val="TeksCatatanKaki"/>
        <w:ind w:firstLine="567"/>
        <w:jc w:val="both"/>
        <w:rPr>
          <w:rFonts w:ascii="Calibri" w:hAnsi="Calibri" w:cs="Calibri"/>
          <w:lang w:val="id-ID"/>
        </w:rPr>
      </w:pPr>
      <w:r w:rsidRPr="00FD2B94">
        <w:rPr>
          <w:rStyle w:val="ReferensiCatatanKaki"/>
          <w:rFonts w:ascii="Calibri" w:hAnsi="Calibri" w:cs="Calibri"/>
        </w:rPr>
        <w:footnoteRef/>
      </w:r>
      <w:r w:rsidRPr="00FD2B94">
        <w:rPr>
          <w:rFonts w:ascii="Calibri" w:hAnsi="Calibri" w:cs="Calibri"/>
        </w:rPr>
        <w:t xml:space="preserve">Achmad Ali, 2002, </w:t>
      </w:r>
      <w:r w:rsidRPr="008036B2">
        <w:rPr>
          <w:rFonts w:ascii="Calibri" w:hAnsi="Calibri" w:cs="Calibri"/>
          <w:i/>
        </w:rPr>
        <w:t xml:space="preserve">Legal Decline in </w:t>
      </w:r>
      <w:proofErr w:type="spellStart"/>
      <w:r w:rsidRPr="008036B2">
        <w:rPr>
          <w:rFonts w:ascii="Calibri" w:hAnsi="Calibri" w:cs="Calibri"/>
          <w:i/>
        </w:rPr>
        <w:t>IndonesiaCauses</w:t>
      </w:r>
      <w:proofErr w:type="spellEnd"/>
      <w:r w:rsidRPr="008036B2">
        <w:rPr>
          <w:rFonts w:ascii="Calibri" w:hAnsi="Calibri" w:cs="Calibri"/>
          <w:i/>
        </w:rPr>
        <w:t xml:space="preserve"> and Solutions,</w:t>
      </w:r>
      <w:r w:rsidRPr="00FD2B94">
        <w:rPr>
          <w:rFonts w:ascii="Calibri" w:hAnsi="Calibri" w:cs="Calibri"/>
        </w:rPr>
        <w:t xml:space="preserve"> Jakarta: Ghalia Indonesia, p. 4</w:t>
      </w:r>
    </w:p>
  </w:footnote>
  <w:footnote w:id="8">
    <w:p w14:paraId="4246B06D" w14:textId="7BFD2B1D" w:rsidR="00FD39EB" w:rsidRPr="00FD39EB" w:rsidRDefault="00FD39EB" w:rsidP="00FD39EB">
      <w:pPr>
        <w:pStyle w:val="TeksCatatanKaki"/>
        <w:ind w:firstLine="567"/>
        <w:jc w:val="both"/>
        <w:rPr>
          <w:rFonts w:ascii="Calibri" w:hAnsi="Calibri" w:cs="Calibri"/>
          <w:lang w:val="id-ID"/>
        </w:rPr>
      </w:pPr>
      <w:r w:rsidRPr="00FD39EB">
        <w:rPr>
          <w:rStyle w:val="ReferensiCatatanKaki"/>
          <w:rFonts w:ascii="Calibri" w:hAnsi="Calibri" w:cs="Calibri"/>
        </w:rPr>
        <w:footnoteRef/>
      </w:r>
      <w:r w:rsidRPr="00FD39EB">
        <w:rPr>
          <w:rFonts w:ascii="Calibri" w:hAnsi="Calibri" w:cs="Calibri"/>
        </w:rPr>
        <w:t>Charles Himawan. 2003, Law as a Commander, Jakarta: Kompas Book, p. 120</w:t>
      </w:r>
    </w:p>
  </w:footnote>
  <w:footnote w:id="9">
    <w:p w14:paraId="21A5FFA5" w14:textId="77777777" w:rsidR="00793586" w:rsidRDefault="00416A7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Style w:val="ReferensiCatatanKaki"/>
        </w:rPr>
        <w:footnoteRef/>
      </w:r>
      <w:r>
        <w:rPr>
          <w:color w:val="000000"/>
          <w:sz w:val="20"/>
          <w:szCs w:val="20"/>
        </w:rPr>
        <w:t>Agnes Grace Aritonang, "</w:t>
      </w:r>
      <w:r>
        <w:rPr>
          <w:i/>
          <w:color w:val="000000"/>
          <w:sz w:val="20"/>
          <w:szCs w:val="20"/>
        </w:rPr>
        <w:t>The Alternative Role of Out-of-Court Dispute Resolution in Environmental Protection and Management</w:t>
      </w:r>
      <w:r>
        <w:rPr>
          <w:color w:val="000000"/>
          <w:sz w:val="20"/>
          <w:szCs w:val="20"/>
        </w:rPr>
        <w:t xml:space="preserve">", </w:t>
      </w:r>
      <w:proofErr w:type="spellStart"/>
      <w:r>
        <w:rPr>
          <w:color w:val="000000"/>
          <w:sz w:val="20"/>
          <w:szCs w:val="20"/>
        </w:rPr>
        <w:t>Crepido</w:t>
      </w:r>
      <w:proofErr w:type="spellEnd"/>
      <w:r>
        <w:rPr>
          <w:color w:val="000000"/>
          <w:sz w:val="20"/>
          <w:szCs w:val="20"/>
        </w:rPr>
        <w:t xml:space="preserve"> Journal, Vol 03 No 1 (July, 2021) 6-7</w:t>
      </w:r>
    </w:p>
  </w:footnote>
  <w:footnote w:id="10">
    <w:p w14:paraId="784D1B34" w14:textId="77777777" w:rsidR="00793586" w:rsidRDefault="00416A73">
      <w:pPr>
        <w:pBdr>
          <w:top w:val="nil"/>
          <w:left w:val="nil"/>
          <w:bottom w:val="nil"/>
          <w:right w:val="nil"/>
          <w:between w:val="nil"/>
        </w:pBdr>
        <w:spacing w:after="0" w:line="240" w:lineRule="auto"/>
        <w:ind w:firstLine="567"/>
        <w:jc w:val="both"/>
        <w:rPr>
          <w:color w:val="000000"/>
          <w:sz w:val="20"/>
          <w:szCs w:val="20"/>
        </w:rPr>
      </w:pPr>
      <w:r>
        <w:rPr>
          <w:rStyle w:val="ReferensiCatatanKaki"/>
        </w:rPr>
        <w:footnoteRef/>
      </w:r>
      <w:r>
        <w:rPr>
          <w:color w:val="000000"/>
          <w:sz w:val="20"/>
          <w:szCs w:val="20"/>
        </w:rPr>
        <w:t xml:space="preserve">Elita </w:t>
      </w:r>
      <w:proofErr w:type="gramStart"/>
      <w:r>
        <w:rPr>
          <w:color w:val="000000"/>
          <w:sz w:val="20"/>
          <w:szCs w:val="20"/>
        </w:rPr>
        <w:t xml:space="preserve">Rahmi, </w:t>
      </w:r>
      <w:r>
        <w:rPr>
          <w:i/>
          <w:color w:val="000000"/>
          <w:sz w:val="20"/>
          <w:szCs w:val="20"/>
        </w:rPr>
        <w:t xml:space="preserve"> Environmental</w:t>
      </w:r>
      <w:proofErr w:type="gramEnd"/>
      <w:r>
        <w:rPr>
          <w:i/>
          <w:color w:val="000000"/>
          <w:sz w:val="20"/>
          <w:szCs w:val="20"/>
        </w:rPr>
        <w:t xml:space="preserve"> Standardization (ISO 26000) as Harmonization of Corporate Social Responsibility and Legal Instruments in Indonesia</w:t>
      </w:r>
      <w:r>
        <w:rPr>
          <w:color w:val="000000"/>
          <w:sz w:val="20"/>
          <w:szCs w:val="20"/>
        </w:rPr>
        <w:t xml:space="preserve">, </w:t>
      </w:r>
      <w:r>
        <w:rPr>
          <w:color w:val="222222"/>
          <w:sz w:val="20"/>
          <w:szCs w:val="20"/>
          <w:highlight w:val="white"/>
        </w:rPr>
        <w:t>Journal of Legal Sciences, Volume 4, Number 5, 2011</w:t>
      </w:r>
    </w:p>
  </w:footnote>
  <w:footnote w:id="11">
    <w:p w14:paraId="0DE6004B" w14:textId="77777777" w:rsidR="00793586" w:rsidRDefault="00416A73">
      <w:pPr>
        <w:pBdr>
          <w:top w:val="nil"/>
          <w:left w:val="nil"/>
          <w:bottom w:val="nil"/>
          <w:right w:val="nil"/>
          <w:between w:val="nil"/>
        </w:pBdr>
        <w:spacing w:after="0" w:line="240" w:lineRule="auto"/>
        <w:ind w:firstLine="567"/>
        <w:rPr>
          <w:color w:val="000000"/>
          <w:sz w:val="20"/>
          <w:szCs w:val="20"/>
        </w:rPr>
      </w:pPr>
      <w:r>
        <w:rPr>
          <w:rStyle w:val="ReferensiCatatanKaki"/>
        </w:rPr>
        <w:footnoteRef/>
      </w:r>
      <w:r>
        <w:rPr>
          <w:color w:val="000000"/>
          <w:sz w:val="20"/>
          <w:szCs w:val="20"/>
        </w:rPr>
        <w:t xml:space="preserve">Tempo.com. 2015, So </w:t>
      </w:r>
      <w:proofErr w:type="gramStart"/>
      <w:r>
        <w:rPr>
          <w:color w:val="000000"/>
          <w:sz w:val="20"/>
          <w:szCs w:val="20"/>
        </w:rPr>
        <w:t>Up</w:t>
      </w:r>
      <w:proofErr w:type="gramEnd"/>
      <w:r>
        <w:rPr>
          <w:color w:val="000000"/>
          <w:sz w:val="20"/>
          <w:szCs w:val="20"/>
        </w:rPr>
        <w:t xml:space="preserve"> for grabs, the potential of </w:t>
      </w:r>
      <w:proofErr w:type="spellStart"/>
      <w:r>
        <w:rPr>
          <w:color w:val="000000"/>
          <w:sz w:val="20"/>
          <w:szCs w:val="20"/>
        </w:rPr>
        <w:t>Lumajang</w:t>
      </w:r>
      <w:proofErr w:type="spellEnd"/>
      <w:r>
        <w:rPr>
          <w:color w:val="000000"/>
          <w:sz w:val="20"/>
          <w:szCs w:val="20"/>
        </w:rPr>
        <w:t xml:space="preserve"> sand is 75 million cubic meters. November 27,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CA34" w14:textId="77777777" w:rsidR="00793586" w:rsidRDefault="00416A73">
    <w:pPr>
      <w:pBdr>
        <w:bottom w:val="single" w:sz="6" w:space="1" w:color="000000"/>
      </w:pBdr>
      <w:spacing w:after="0" w:line="240" w:lineRule="auto"/>
      <w:rPr>
        <w:i/>
        <w:sz w:val="20"/>
        <w:szCs w:val="20"/>
      </w:rPr>
    </w:pPr>
    <w:r>
      <w:rPr>
        <w:sz w:val="20"/>
        <w:szCs w:val="20"/>
      </w:rPr>
      <w:t>M. Alip Karisma</w:t>
    </w:r>
    <w:r w:rsidRPr="00CE258B">
      <w:rPr>
        <w:sz w:val="20"/>
        <w:szCs w:val="20"/>
        <w:vertAlign w:val="superscript"/>
      </w:rPr>
      <w:t>1</w:t>
    </w:r>
    <w:r>
      <w:rPr>
        <w:sz w:val="20"/>
        <w:szCs w:val="20"/>
      </w:rPr>
      <w:t>, Neelam Cahya Ningtyas</w:t>
    </w:r>
    <w:r w:rsidRPr="00CE258B">
      <w:rPr>
        <w:sz w:val="20"/>
        <w:szCs w:val="20"/>
        <w:vertAlign w:val="superscript"/>
      </w:rPr>
      <w:t>2</w:t>
    </w:r>
    <w:r>
      <w:rPr>
        <w:sz w:val="20"/>
        <w:szCs w:val="20"/>
      </w:rPr>
      <w:t>, Sari Mulyana Haliva</w:t>
    </w:r>
    <w:r w:rsidRPr="00CE258B">
      <w:rPr>
        <w:sz w:val="20"/>
        <w:szCs w:val="20"/>
        <w:vertAlign w:val="superscript"/>
      </w:rPr>
      <w:t>3</w:t>
    </w:r>
    <w:r>
      <w:rPr>
        <w:sz w:val="20"/>
        <w:szCs w:val="20"/>
      </w:rPr>
      <w:t xml:space="preserve">, </w:t>
    </w:r>
    <w:proofErr w:type="spellStart"/>
    <w:r>
      <w:rPr>
        <w:sz w:val="20"/>
        <w:szCs w:val="20"/>
      </w:rPr>
      <w:t>Dasma</w:t>
    </w:r>
    <w:proofErr w:type="spellEnd"/>
    <w:r>
      <w:rPr>
        <w:sz w:val="20"/>
        <w:szCs w:val="20"/>
      </w:rPr>
      <w:t xml:space="preserve"> Anggun Sparingga</w:t>
    </w:r>
    <w:r w:rsidRPr="00CE258B">
      <w:rPr>
        <w:sz w:val="20"/>
        <w:szCs w:val="20"/>
        <w:vertAlign w:val="superscript"/>
      </w:rPr>
      <w:t>4</w:t>
    </w:r>
    <w:r>
      <w:rPr>
        <w:sz w:val="20"/>
        <w:szCs w:val="20"/>
      </w:rPr>
      <w:t xml:space="preserve">, </w:t>
    </w:r>
    <w:proofErr w:type="spellStart"/>
    <w:r>
      <w:rPr>
        <w:sz w:val="20"/>
        <w:szCs w:val="20"/>
      </w:rPr>
      <w:t>Fanizar</w:t>
    </w:r>
    <w:proofErr w:type="spellEnd"/>
    <w:r>
      <w:rPr>
        <w:sz w:val="20"/>
        <w:szCs w:val="20"/>
      </w:rPr>
      <w:t xml:space="preserve"> Hakami</w:t>
    </w:r>
    <w:r>
      <w:rPr>
        <w:sz w:val="20"/>
        <w:szCs w:val="20"/>
        <w:vertAlign w:val="superscript"/>
      </w:rPr>
      <w:t>5</w:t>
    </w:r>
    <w:r>
      <w:rPr>
        <w:sz w:val="20"/>
        <w:szCs w:val="20"/>
      </w:rPr>
      <w:t xml:space="preserve">. </w:t>
    </w:r>
  </w:p>
  <w:p w14:paraId="025F0443" w14:textId="77777777" w:rsidR="00793586" w:rsidRDefault="00793586">
    <w:pPr>
      <w:spacing w:after="0"/>
      <w:rPr>
        <w:sz w:val="20"/>
        <w:szCs w:val="20"/>
      </w:rPr>
    </w:pPr>
  </w:p>
  <w:p w14:paraId="123329E0" w14:textId="77777777" w:rsidR="00793586" w:rsidRDefault="00793586">
    <w:pPr>
      <w:pBdr>
        <w:top w:val="nil"/>
        <w:left w:val="nil"/>
        <w:bottom w:val="nil"/>
        <w:right w:val="nil"/>
        <w:between w:val="nil"/>
      </w:pBdr>
      <w:tabs>
        <w:tab w:val="center" w:pos="4680"/>
        <w:tab w:val="right" w:pos="9360"/>
      </w:tabs>
      <w:spacing w:after="0" w:line="240" w:lineRule="auto"/>
      <w:rPr>
        <w:i/>
        <w:color w:val="000000"/>
        <w:sz w:val="20"/>
        <w:szCs w:val="20"/>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4BF7D" w14:textId="2DAB48B0" w:rsidR="00793586" w:rsidRPr="00F13FF1" w:rsidRDefault="00F13FF1" w:rsidP="00F13FF1">
    <w:pPr>
      <w:pStyle w:val="Header"/>
      <w:jc w:val="right"/>
    </w:pPr>
    <w:r w:rsidRPr="00F13FF1">
      <w:rPr>
        <w:sz w:val="20"/>
        <w:szCs w:val="20"/>
        <w:u w:val="single"/>
      </w:rPr>
      <w:t>ENVIRONMENTAL DISPUTE RESOLUTION THROUGH NON-LITIGATION CHANNELS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6B98" w14:textId="77777777" w:rsidR="00793586" w:rsidRDefault="00416A73">
    <w:pPr>
      <w:pBdr>
        <w:top w:val="nil"/>
        <w:left w:val="nil"/>
        <w:bottom w:val="nil"/>
        <w:right w:val="nil"/>
        <w:between w:val="nil"/>
      </w:pBdr>
      <w:tabs>
        <w:tab w:val="center" w:pos="4680"/>
        <w:tab w:val="right" w:pos="9360"/>
      </w:tabs>
      <w:spacing w:after="0" w:line="240" w:lineRule="auto"/>
      <w:rPr>
        <w:rFonts w:ascii="EB Garamond" w:eastAsia="EB Garamond" w:hAnsi="EB Garamond" w:cs="EB Garamond"/>
        <w:color w:val="000000"/>
        <w:sz w:val="24"/>
        <w:szCs w:val="24"/>
      </w:rPr>
    </w:pPr>
    <w:r>
      <w:rPr>
        <w:rFonts w:ascii="EB Garamond" w:eastAsia="EB Garamond" w:hAnsi="EB Garamond" w:cs="EB Garamond"/>
        <w:b/>
        <w:color w:val="000000"/>
        <w:sz w:val="36"/>
        <w:szCs w:val="36"/>
      </w:rPr>
      <w:t>Communal Journal</w:t>
    </w:r>
    <w:r>
      <w:rPr>
        <w:noProof/>
      </w:rPr>
      <mc:AlternateContent>
        <mc:Choice Requires="wps">
          <w:drawing>
            <wp:anchor distT="0" distB="0" distL="114300" distR="114300" simplePos="0" relativeHeight="251658240" behindDoc="0" locked="0" layoutInCell="1" hidden="0" allowOverlap="1" wp14:anchorId="722AFB52" wp14:editId="75F86834">
              <wp:simplePos x="0" y="0"/>
              <wp:positionH relativeFrom="column">
                <wp:posOffset>-914399</wp:posOffset>
              </wp:positionH>
              <wp:positionV relativeFrom="paragraph">
                <wp:posOffset>-215899</wp:posOffset>
              </wp:positionV>
              <wp:extent cx="7553325" cy="726440"/>
              <wp:effectExtent l="0" t="0" r="0" b="0"/>
              <wp:wrapNone/>
              <wp:docPr id="242" name="Rectangle 242"/>
              <wp:cNvGraphicFramePr/>
              <a:graphic xmlns:a="http://schemas.openxmlformats.org/drawingml/2006/main">
                <a:graphicData uri="http://schemas.microsoft.com/office/word/2010/wordprocessingShape">
                  <wps:wsp>
                    <wps:cNvSpPr/>
                    <wps:spPr>
                      <a:xfrm>
                        <a:off x="1574100" y="3421543"/>
                        <a:ext cx="7543800" cy="716915"/>
                      </a:xfrm>
                      <a:prstGeom prst="rect">
                        <a:avLst/>
                      </a:prstGeom>
                      <a:solidFill>
                        <a:schemeClr val="accent6">
                          <a:alpha val="49803"/>
                        </a:schemeClr>
                      </a:solidFill>
                      <a:ln w="9525" cap="flat" cmpd="sng">
                        <a:solidFill>
                          <a:srgbClr val="0C0C0C"/>
                        </a:solidFill>
                        <a:prstDash val="solid"/>
                        <a:round/>
                        <a:headEnd type="none" w="sm" len="sm"/>
                        <a:tailEnd type="none" w="sm" len="sm"/>
                      </a:ln>
                    </wps:spPr>
                    <wps:txbx>
                      <w:txbxContent>
                        <w:p w14:paraId="3ABFBBF8" w14:textId="77777777" w:rsidR="00793586" w:rsidRDefault="0079358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2AFB52" id="Rectangle 242" o:spid="_x0000_s1032" style="position:absolute;margin-left:-1in;margin-top:-17pt;width:594.75pt;height:57.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" fillcolor="#70ad47 [3209]" strokecolor="#0c0c0c">
              <v:fill opacity="32639f"/>
              <v:stroke startarrowwidth="narrow" startarrowlength="short" endarrowwidth="narrow" endarrowlength="short" joinstyle="round"/>
              <v:textbox inset="2.53958mm,2.53958mm,2.53958mm,2.53958mm">
                <w:txbxContent>
                  <w:p w14:paraId="3ABFBBF8" w14:textId="77777777" w:rsidR="00793586" w:rsidRDefault="00793586">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55C296FD" wp14:editId="25274ABE">
              <wp:simplePos x="0" y="0"/>
              <wp:positionH relativeFrom="column">
                <wp:posOffset>1181100</wp:posOffset>
              </wp:positionH>
              <wp:positionV relativeFrom="paragraph">
                <wp:posOffset>38100</wp:posOffset>
              </wp:positionV>
              <wp:extent cx="5448300" cy="228600"/>
              <wp:effectExtent l="0" t="0" r="0" b="0"/>
              <wp:wrapNone/>
              <wp:docPr id="234" name="Rectangle 234"/>
              <wp:cNvGraphicFramePr/>
              <a:graphic xmlns:a="http://schemas.openxmlformats.org/drawingml/2006/main">
                <a:graphicData uri="http://schemas.microsoft.com/office/word/2010/wordprocessingShape">
                  <wps:wsp>
                    <wps:cNvSpPr/>
                    <wps:spPr>
                      <a:xfrm>
                        <a:off x="2626613" y="3670463"/>
                        <a:ext cx="5438775" cy="219075"/>
                      </a:xfrm>
                      <a:prstGeom prst="rect">
                        <a:avLst/>
                      </a:prstGeom>
                      <a:solidFill>
                        <a:srgbClr val="B98213">
                          <a:alpha val="49803"/>
                        </a:srgbClr>
                      </a:solidFill>
                      <a:ln w="9525" cap="flat" cmpd="sng">
                        <a:solidFill>
                          <a:srgbClr val="262626"/>
                        </a:solidFill>
                        <a:prstDash val="solid"/>
                        <a:round/>
                        <a:headEnd type="none" w="sm" len="sm"/>
                        <a:tailEnd type="none" w="sm" len="sm"/>
                      </a:ln>
                    </wps:spPr>
                    <wps:txbx>
                      <w:txbxContent>
                        <w:p w14:paraId="1D3557AD" w14:textId="77777777" w:rsidR="00793586" w:rsidRDefault="0079358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5C296FD" id="Rectangle 234" o:spid="_x0000_s1033" style="position:absolute;margin-left:93pt;margin-top:3pt;width:429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" fillcolor="#b98213" strokecolor="#262626">
              <v:fill opacity="32639f"/>
              <v:stroke startarrowwidth="narrow" startarrowlength="short" endarrowwidth="narrow" endarrowlength="short" joinstyle="round"/>
              <v:textbox inset="2.53958mm,2.53958mm,2.53958mm,2.53958mm">
                <w:txbxContent>
                  <w:p w14:paraId="1D3557AD" w14:textId="77777777" w:rsidR="00793586" w:rsidRDefault="00793586">
                    <w:pPr>
                      <w:spacing w:after="0" w:line="240" w:lineRule="auto"/>
                      <w:textDirection w:val="btLr"/>
                    </w:pPr>
                  </w:p>
                </w:txbxContent>
              </v:textbox>
            </v:rect>
          </w:pict>
        </mc:Fallback>
      </mc:AlternateContent>
    </w:r>
  </w:p>
  <w:p w14:paraId="5B2D7E2F" w14:textId="77777777" w:rsidR="00793586" w:rsidRDefault="00416A73">
    <w:pPr>
      <w:pBdr>
        <w:top w:val="nil"/>
        <w:left w:val="nil"/>
        <w:bottom w:val="nil"/>
        <w:right w:val="nil"/>
        <w:between w:val="nil"/>
      </w:pBdr>
      <w:tabs>
        <w:tab w:val="center" w:pos="4680"/>
        <w:tab w:val="right" w:pos="9360"/>
      </w:tabs>
      <w:spacing w:after="0" w:line="240" w:lineRule="auto"/>
      <w:rPr>
        <w:rFonts w:ascii="EB Garamond" w:eastAsia="EB Garamond" w:hAnsi="EB Garamond" w:cs="EB Garamond"/>
        <w:color w:val="000000"/>
        <w:sz w:val="24"/>
        <w:szCs w:val="24"/>
      </w:rPr>
    </w:pPr>
    <w:r>
      <w:rPr>
        <w:rFonts w:ascii="EB Garamond" w:eastAsia="EB Garamond" w:hAnsi="EB Garamond" w:cs="EB Garamond"/>
        <w:color w:val="000000"/>
        <w:sz w:val="24"/>
        <w:szCs w:val="24"/>
      </w:rPr>
      <w:t>Published by: Center of Excellence in Science and Technology-PUI, University of Jambi</w:t>
    </w:r>
  </w:p>
  <w:p w14:paraId="7B4EB45A" w14:textId="674DE358" w:rsidR="00793586" w:rsidRDefault="00416A73">
    <w:pPr>
      <w:pBdr>
        <w:top w:val="nil"/>
        <w:left w:val="nil"/>
        <w:bottom w:val="nil"/>
        <w:right w:val="nil"/>
        <w:between w:val="nil"/>
      </w:pBdr>
      <w:tabs>
        <w:tab w:val="center" w:pos="4680"/>
        <w:tab w:val="right" w:pos="9360"/>
      </w:tabs>
      <w:spacing w:after="0" w:line="240" w:lineRule="auto"/>
      <w:rPr>
        <w:rFonts w:ascii="EB Garamond" w:eastAsia="EB Garamond" w:hAnsi="EB Garamond" w:cs="EB Garamond"/>
        <w:b/>
        <w:i/>
        <w:color w:val="000000"/>
        <w:sz w:val="24"/>
        <w:szCs w:val="24"/>
      </w:rPr>
    </w:pPr>
    <w:r>
      <w:rPr>
        <w:rFonts w:ascii="EB Garamond" w:eastAsia="EB Garamond" w:hAnsi="EB Garamond" w:cs="EB Garamond"/>
        <w:b/>
        <w:i/>
        <w:color w:val="000000"/>
        <w:sz w:val="24"/>
        <w:szCs w:val="24"/>
      </w:rPr>
      <w:t xml:space="preserve">Volume </w:t>
    </w:r>
    <w:r w:rsidR="00895480">
      <w:rPr>
        <w:rFonts w:ascii="EB Garamond" w:eastAsia="EB Garamond" w:hAnsi="EB Garamond" w:cs="EB Garamond"/>
        <w:b/>
        <w:i/>
        <w:color w:val="000000"/>
        <w:sz w:val="24"/>
        <w:szCs w:val="24"/>
      </w:rPr>
      <w:t>3</w:t>
    </w:r>
    <w:r>
      <w:rPr>
        <w:rFonts w:ascii="EB Garamond" w:eastAsia="EB Garamond" w:hAnsi="EB Garamond" w:cs="EB Garamond"/>
        <w:b/>
        <w:i/>
        <w:color w:val="000000"/>
        <w:sz w:val="24"/>
        <w:szCs w:val="24"/>
      </w:rPr>
      <w:t xml:space="preserve"> </w:t>
    </w:r>
    <w:r w:rsidR="00895480">
      <w:rPr>
        <w:rFonts w:ascii="EB Garamond" w:eastAsia="EB Garamond" w:hAnsi="EB Garamond" w:cs="EB Garamond"/>
        <w:b/>
        <w:i/>
        <w:color w:val="000000"/>
        <w:sz w:val="24"/>
        <w:szCs w:val="24"/>
      </w:rPr>
      <w:t>Issue 3</w:t>
    </w:r>
    <w:r>
      <w:rPr>
        <w:rFonts w:ascii="EB Garamond" w:eastAsia="EB Garamond" w:hAnsi="EB Garamond" w:cs="EB Garamond"/>
        <w:b/>
        <w:i/>
        <w:color w:val="000000"/>
        <w:sz w:val="24"/>
        <w:szCs w:val="24"/>
      </w:rPr>
      <w:t xml:space="preserve">, </w:t>
    </w:r>
    <w:r w:rsidR="00895480">
      <w:rPr>
        <w:rFonts w:ascii="EB Garamond" w:eastAsia="EB Garamond" w:hAnsi="EB Garamond" w:cs="EB Garamond"/>
        <w:b/>
        <w:i/>
        <w:color w:val="000000"/>
        <w:sz w:val="24"/>
        <w:szCs w:val="24"/>
      </w:rPr>
      <w:t>2025 (128-137)</w:t>
    </w:r>
  </w:p>
  <w:p w14:paraId="1569D463" w14:textId="77777777" w:rsidR="00793586" w:rsidRDefault="00416A73">
    <w:pPr>
      <w:pBdr>
        <w:top w:val="nil"/>
        <w:left w:val="nil"/>
        <w:bottom w:val="nil"/>
        <w:right w:val="nil"/>
        <w:between w:val="nil"/>
      </w:pBdr>
      <w:tabs>
        <w:tab w:val="center" w:pos="4680"/>
        <w:tab w:val="right" w:pos="9360"/>
      </w:tabs>
      <w:spacing w:after="0" w:line="240" w:lineRule="auto"/>
      <w:rPr>
        <w:rFonts w:ascii="EB Garamond" w:eastAsia="EB Garamond" w:hAnsi="EB Garamond" w:cs="EB Garamond"/>
        <w:b/>
        <w:color w:val="000000"/>
        <w:sz w:val="24"/>
        <w:szCs w:val="24"/>
      </w:rPr>
    </w:pPr>
    <w:r>
      <w:rPr>
        <w:noProof/>
      </w:rPr>
      <w:drawing>
        <wp:anchor distT="0" distB="0" distL="114300" distR="114300" simplePos="0" relativeHeight="251660288" behindDoc="0" locked="0" layoutInCell="1" hidden="0" allowOverlap="1" wp14:anchorId="6F6B24E6" wp14:editId="7C738F80">
          <wp:simplePos x="0" y="0"/>
          <wp:positionH relativeFrom="column">
            <wp:posOffset>1</wp:posOffset>
          </wp:positionH>
          <wp:positionV relativeFrom="paragraph">
            <wp:posOffset>191580</wp:posOffset>
          </wp:positionV>
          <wp:extent cx="460666" cy="162882"/>
          <wp:effectExtent l="0" t="0" r="0" b="0"/>
          <wp:wrapNone/>
          <wp:docPr id="2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0666" cy="162882"/>
                  </a:xfrm>
                  <a:prstGeom prst="rect">
                    <a:avLst/>
                  </a:prstGeom>
                  <a:ln/>
                </pic:spPr>
              </pic:pic>
            </a:graphicData>
          </a:graphic>
        </wp:anchor>
      </w:drawing>
    </w:r>
  </w:p>
  <w:p w14:paraId="18059ED4" w14:textId="77777777" w:rsidR="00793586" w:rsidRDefault="00416A73">
    <w:pPr>
      <w:pBdr>
        <w:top w:val="nil"/>
        <w:left w:val="nil"/>
        <w:bottom w:val="nil"/>
        <w:right w:val="nil"/>
        <w:between w:val="nil"/>
      </w:pBdr>
      <w:tabs>
        <w:tab w:val="center" w:pos="4680"/>
        <w:tab w:val="right" w:pos="9360"/>
      </w:tabs>
      <w:spacing w:after="0" w:line="240" w:lineRule="auto"/>
      <w:rPr>
        <w:rFonts w:ascii="EB Garamond" w:eastAsia="EB Garamond" w:hAnsi="EB Garamond" w:cs="EB Garamond"/>
        <w:color w:val="000000"/>
        <w:sz w:val="20"/>
        <w:szCs w:val="20"/>
      </w:rPr>
    </w:pPr>
    <w:r>
      <w:rPr>
        <w:rFonts w:ascii="EB Garamond" w:eastAsia="EB Garamond" w:hAnsi="EB Garamond" w:cs="EB Garamond"/>
        <w:i/>
        <w:color w:val="000000"/>
        <w:sz w:val="20"/>
        <w:szCs w:val="20"/>
      </w:rPr>
      <w:t xml:space="preserve">This work is licensed under a </w:t>
    </w:r>
    <w:r>
      <w:rPr>
        <w:rFonts w:ascii="EB Garamond" w:eastAsia="EB Garamond" w:hAnsi="EB Garamond" w:cs="EB Garamond"/>
        <w:i/>
        <w:color w:val="538135"/>
        <w:sz w:val="20"/>
        <w:szCs w:val="20"/>
      </w:rPr>
      <w:t>Creative Commons Attribution 4.0 International License</w:t>
    </w:r>
  </w:p>
  <w:p w14:paraId="2AAADBB8" w14:textId="77777777" w:rsidR="00793586" w:rsidRDefault="00416A73">
    <w:pPr>
      <w:pBdr>
        <w:top w:val="nil"/>
        <w:left w:val="nil"/>
        <w:bottom w:val="nil"/>
        <w:right w:val="nil"/>
        <w:between w:val="nil"/>
      </w:pBdr>
      <w:tabs>
        <w:tab w:val="center" w:pos="4680"/>
        <w:tab w:val="right" w:pos="9360"/>
      </w:tabs>
      <w:spacing w:after="0" w:line="240" w:lineRule="auto"/>
      <w:rPr>
        <w:color w:val="000000"/>
      </w:rPr>
    </w:pPr>
    <w:r>
      <w:rPr>
        <w:color w:val="000000"/>
      </w:rPr>
      <w:tab/>
    </w:r>
    <w:r>
      <w:rPr>
        <w:noProof/>
      </w:rPr>
      <mc:AlternateContent>
        <mc:Choice Requires="wps">
          <w:drawing>
            <wp:anchor distT="0" distB="0" distL="114300" distR="114300" simplePos="0" relativeHeight="251661312" behindDoc="0" locked="0" layoutInCell="1" hidden="0" allowOverlap="1" wp14:anchorId="78551CC1" wp14:editId="743D10AC">
              <wp:simplePos x="0" y="0"/>
              <wp:positionH relativeFrom="column">
                <wp:posOffset>1</wp:posOffset>
              </wp:positionH>
              <wp:positionV relativeFrom="paragraph">
                <wp:posOffset>12700</wp:posOffset>
              </wp:positionV>
              <wp:extent cx="0" cy="19050"/>
              <wp:effectExtent l="0" t="0" r="0" b="0"/>
              <wp:wrapNone/>
              <wp:docPr id="237" name="Straight Arrow Connector 237"/>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type w14:anchorId="5435846E" id="_x0000_t32" coordsize="21600,21600" o:spt="32" o:oned="t" path="m,l21600,21600e" filled="f">
              <v:path arrowok="t" fillok="f" o:connecttype="none"/>
              <o:lock v:ext="edit" shapetype="t"/>
            </v:shapetype>
            <v:shape id="Straight Arrow Connector 237" o:spid="_x0000_s1026" type="#_x0000_t32" style="position:absolute;margin-left:0;margin-top:1pt;width:0;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" strokecolor="#70ad47 [3209]" strokeweight="1.5pt">
              <v:stroke startarrowwidth="narrow" startarrowlength="short" endarrowwidth="narrow" endarrowlength="short" joinstyle="miter"/>
            </v:shape>
          </w:pict>
        </mc:Fallback>
      </mc:AlternateContent>
    </w:r>
    <w:r>
      <w:rPr>
        <w:noProof/>
      </w:rPr>
      <mc:AlternateContent>
        <mc:Choice Requires="wps">
          <w:drawing>
            <wp:anchor distT="0" distB="0" distL="114300" distR="114300" simplePos="0" relativeHeight="251662336" behindDoc="0" locked="0" layoutInCell="1" hidden="0" allowOverlap="1" wp14:anchorId="65B57A5D" wp14:editId="7E242091">
              <wp:simplePos x="0" y="0"/>
              <wp:positionH relativeFrom="column">
                <wp:posOffset>1</wp:posOffset>
              </wp:positionH>
              <wp:positionV relativeFrom="paragraph">
                <wp:posOffset>50800</wp:posOffset>
              </wp:positionV>
              <wp:extent cx="0" cy="19050"/>
              <wp:effectExtent l="0" t="0" r="0" b="0"/>
              <wp:wrapNone/>
              <wp:docPr id="223" name="Straight Arrow Connector 223"/>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19050" cap="flat" cmpd="sng">
                        <a:solidFill>
                          <a:schemeClr val="accent6"/>
                        </a:solidFill>
                        <a:prstDash val="solid"/>
                        <a:miter lim="800000"/>
                        <a:headEnd type="none" w="sm" len="sm"/>
                        <a:tailEnd type="none" w="sm" len="sm"/>
                      </a:ln>
                      <a:effectLst>
                        <a:reflection stA="50000" endA="300" endPos="55000" sy="-100000" algn="bl" rotWithShape="0"/>
                      </a:effectLst>
                    </wps:spPr>
                    <wps:bodyPr/>
                  </wps:wsp>
                </a:graphicData>
              </a:graphic>
            </wp:anchor>
          </w:drawing>
        </mc:Choice>
        <mc:Fallback>
          <w:pict>
            <v:shape w14:anchorId="79BC5E8F" id="Straight Arrow Connector 223" o:spid="_x0000_s1026" type="#_x0000_t32" style="position:absolute;margin-left:0;margin-top:4pt;width:0;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" strokecolor="#70ad47 [3209]" strokeweight="1.5pt">
              <v:stroke startarrowwidth="narrow" startarrowlength="short" endarrowwidth="narrow" endarrowlength="short"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545DB"/>
    <w:multiLevelType w:val="hybridMultilevel"/>
    <w:tmpl w:val="5D62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D76FC"/>
    <w:multiLevelType w:val="multilevel"/>
    <w:tmpl w:val="C728DD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19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4D6832"/>
    <w:multiLevelType w:val="hybridMultilevel"/>
    <w:tmpl w:val="0C34A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B9038C"/>
    <w:multiLevelType w:val="multilevel"/>
    <w:tmpl w:val="6A3A8CE4"/>
    <w:lvl w:ilvl="0">
      <w:start w:val="4"/>
      <w:numFmt w:val="decimal"/>
      <w:lvlText w:val="%1."/>
      <w:lvlJc w:val="left"/>
      <w:pPr>
        <w:ind w:left="720" w:hanging="360"/>
      </w:pPr>
      <w:rPr>
        <w:rFonts w:ascii="Calibri" w:eastAsia="Calibri" w:hAnsi="Calibri" w:cs="Calibri"/>
        <w:b/>
        <w:color w:val="538135"/>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0482E9E"/>
    <w:multiLevelType w:val="hybridMultilevel"/>
    <w:tmpl w:val="496AB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813179"/>
    <w:multiLevelType w:val="multilevel"/>
    <w:tmpl w:val="55005FDA"/>
    <w:lvl w:ilvl="0">
      <w:start w:val="3"/>
      <w:numFmt w:val="decimal"/>
      <w:lvlText w:val="%1"/>
      <w:lvlJc w:val="left"/>
      <w:pPr>
        <w:ind w:left="405" w:hanging="405"/>
      </w:pPr>
      <w:rPr>
        <w:rFonts w:ascii="Calibri" w:eastAsia="Calibri" w:hAnsi="Calibri" w:cs="Calibri"/>
        <w:b/>
        <w:color w:val="538135"/>
        <w:sz w:val="28"/>
        <w:szCs w:val="28"/>
      </w:rPr>
    </w:lvl>
    <w:lvl w:ilvl="1">
      <w:start w:val="1"/>
      <w:numFmt w:val="decimal"/>
      <w:lvlText w:val="%1.%2"/>
      <w:lvlJc w:val="left"/>
      <w:pPr>
        <w:ind w:left="689" w:hanging="404"/>
      </w:pPr>
      <w:rPr>
        <w:rFonts w:ascii="Calibri" w:eastAsia="Calibri" w:hAnsi="Calibri" w:cs="Calibri"/>
        <w:b/>
        <w:color w:val="538135"/>
        <w:sz w:val="28"/>
        <w:szCs w:val="28"/>
      </w:rPr>
    </w:lvl>
    <w:lvl w:ilvl="2">
      <w:start w:val="1"/>
      <w:numFmt w:val="decimal"/>
      <w:lvlText w:val="%1.%2.%3"/>
      <w:lvlJc w:val="left"/>
      <w:pPr>
        <w:ind w:left="1288" w:hanging="719"/>
      </w:pPr>
      <w:rPr>
        <w:rFonts w:ascii="Calibri" w:eastAsia="Calibri" w:hAnsi="Calibri" w:cs="Calibri"/>
        <w:b/>
        <w:color w:val="538135"/>
        <w:sz w:val="28"/>
        <w:szCs w:val="28"/>
      </w:rPr>
    </w:lvl>
    <w:lvl w:ilvl="3">
      <w:start w:val="1"/>
      <w:numFmt w:val="decimal"/>
      <w:lvlText w:val="%1.%2.%3.%4"/>
      <w:lvlJc w:val="left"/>
      <w:pPr>
        <w:ind w:left="1572" w:hanging="720"/>
      </w:pPr>
      <w:rPr>
        <w:rFonts w:ascii="Calibri" w:eastAsia="Calibri" w:hAnsi="Calibri" w:cs="Calibri"/>
        <w:b/>
        <w:color w:val="538135"/>
        <w:sz w:val="28"/>
        <w:szCs w:val="28"/>
      </w:rPr>
    </w:lvl>
    <w:lvl w:ilvl="4">
      <w:start w:val="1"/>
      <w:numFmt w:val="decimal"/>
      <w:lvlText w:val="%1.%2.%3.%4.%5"/>
      <w:lvlJc w:val="left"/>
      <w:pPr>
        <w:ind w:left="2216" w:hanging="1080"/>
      </w:pPr>
      <w:rPr>
        <w:rFonts w:ascii="Calibri" w:eastAsia="Calibri" w:hAnsi="Calibri" w:cs="Calibri"/>
        <w:b/>
        <w:color w:val="538135"/>
        <w:sz w:val="28"/>
        <w:szCs w:val="28"/>
      </w:rPr>
    </w:lvl>
    <w:lvl w:ilvl="5">
      <w:start w:val="1"/>
      <w:numFmt w:val="decimal"/>
      <w:lvlText w:val="%1.%2.%3.%4.%5.%6"/>
      <w:lvlJc w:val="left"/>
      <w:pPr>
        <w:ind w:left="2500" w:hanging="1080"/>
      </w:pPr>
      <w:rPr>
        <w:rFonts w:ascii="Calibri" w:eastAsia="Calibri" w:hAnsi="Calibri" w:cs="Calibri"/>
        <w:b/>
        <w:color w:val="538135"/>
        <w:sz w:val="28"/>
        <w:szCs w:val="28"/>
      </w:rPr>
    </w:lvl>
    <w:lvl w:ilvl="6">
      <w:start w:val="1"/>
      <w:numFmt w:val="decimal"/>
      <w:lvlText w:val="%1.%2.%3.%4.%5.%6.%7"/>
      <w:lvlJc w:val="left"/>
      <w:pPr>
        <w:ind w:left="3144" w:hanging="1440"/>
      </w:pPr>
      <w:rPr>
        <w:rFonts w:ascii="Calibri" w:eastAsia="Calibri" w:hAnsi="Calibri" w:cs="Calibri"/>
        <w:b/>
        <w:color w:val="538135"/>
        <w:sz w:val="28"/>
        <w:szCs w:val="28"/>
      </w:rPr>
    </w:lvl>
    <w:lvl w:ilvl="7">
      <w:start w:val="1"/>
      <w:numFmt w:val="decimal"/>
      <w:lvlText w:val="%1.%2.%3.%4.%5.%6.%7.%8"/>
      <w:lvlJc w:val="left"/>
      <w:pPr>
        <w:ind w:left="3428" w:hanging="1440"/>
      </w:pPr>
      <w:rPr>
        <w:rFonts w:ascii="Calibri" w:eastAsia="Calibri" w:hAnsi="Calibri" w:cs="Calibri"/>
        <w:b/>
        <w:color w:val="538135"/>
        <w:sz w:val="28"/>
        <w:szCs w:val="28"/>
      </w:rPr>
    </w:lvl>
    <w:lvl w:ilvl="8">
      <w:start w:val="1"/>
      <w:numFmt w:val="decimal"/>
      <w:lvlText w:val="%1.%2.%3.%4.%5.%6.%7.%8.%9"/>
      <w:lvlJc w:val="left"/>
      <w:pPr>
        <w:ind w:left="4072" w:hanging="1800"/>
      </w:pPr>
      <w:rPr>
        <w:rFonts w:ascii="Calibri" w:eastAsia="Calibri" w:hAnsi="Calibri" w:cs="Calibri"/>
        <w:b/>
        <w:color w:val="538135"/>
        <w:sz w:val="28"/>
        <w:szCs w:val="28"/>
      </w:rPr>
    </w:lvl>
  </w:abstractNum>
  <w:abstractNum w:abstractNumId="6" w15:restartNumberingAfterBreak="0">
    <w:nsid w:val="5A7F0416"/>
    <w:multiLevelType w:val="hybridMultilevel"/>
    <w:tmpl w:val="0264F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714E98"/>
    <w:multiLevelType w:val="hybridMultilevel"/>
    <w:tmpl w:val="E1A2A66A"/>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8" w15:restartNumberingAfterBreak="0">
    <w:nsid w:val="6D9C5751"/>
    <w:multiLevelType w:val="multilevel"/>
    <w:tmpl w:val="2ADEEE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E638BF"/>
    <w:multiLevelType w:val="hybridMultilevel"/>
    <w:tmpl w:val="4B74F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331554"/>
    <w:multiLevelType w:val="hybridMultilevel"/>
    <w:tmpl w:val="D7F6B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4138526">
    <w:abstractNumId w:val="3"/>
  </w:num>
  <w:num w:numId="2" w16cid:durableId="159589641">
    <w:abstractNumId w:val="5"/>
  </w:num>
  <w:num w:numId="3" w16cid:durableId="1018851565">
    <w:abstractNumId w:val="1"/>
  </w:num>
  <w:num w:numId="4" w16cid:durableId="1614166873">
    <w:abstractNumId w:val="8"/>
  </w:num>
  <w:num w:numId="5" w16cid:durableId="1162235448">
    <w:abstractNumId w:val="7"/>
  </w:num>
  <w:num w:numId="6" w16cid:durableId="1827042649">
    <w:abstractNumId w:val="0"/>
  </w:num>
  <w:num w:numId="7" w16cid:durableId="1211382166">
    <w:abstractNumId w:val="10"/>
  </w:num>
  <w:num w:numId="8" w16cid:durableId="287398680">
    <w:abstractNumId w:val="9"/>
  </w:num>
  <w:num w:numId="9" w16cid:durableId="1530952790">
    <w:abstractNumId w:val="4"/>
  </w:num>
  <w:num w:numId="10" w16cid:durableId="851529491">
    <w:abstractNumId w:val="6"/>
  </w:num>
  <w:num w:numId="11" w16cid:durableId="1337074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86"/>
    <w:rsid w:val="00000D51"/>
    <w:rsid w:val="00093CC4"/>
    <w:rsid w:val="000B5A4E"/>
    <w:rsid w:val="000F3280"/>
    <w:rsid w:val="000F38F2"/>
    <w:rsid w:val="00126903"/>
    <w:rsid w:val="001368CA"/>
    <w:rsid w:val="00171AB1"/>
    <w:rsid w:val="001A6C34"/>
    <w:rsid w:val="001F7A04"/>
    <w:rsid w:val="002017A9"/>
    <w:rsid w:val="00286C75"/>
    <w:rsid w:val="002944DD"/>
    <w:rsid w:val="002E4B8E"/>
    <w:rsid w:val="002E569F"/>
    <w:rsid w:val="00302D84"/>
    <w:rsid w:val="003149A4"/>
    <w:rsid w:val="00392134"/>
    <w:rsid w:val="003C5369"/>
    <w:rsid w:val="00416A73"/>
    <w:rsid w:val="0045430C"/>
    <w:rsid w:val="004811D4"/>
    <w:rsid w:val="004A6E70"/>
    <w:rsid w:val="00526EAE"/>
    <w:rsid w:val="00544C04"/>
    <w:rsid w:val="005E50C2"/>
    <w:rsid w:val="00676408"/>
    <w:rsid w:val="00690655"/>
    <w:rsid w:val="006D322B"/>
    <w:rsid w:val="006D5F9F"/>
    <w:rsid w:val="006E260E"/>
    <w:rsid w:val="006E56FA"/>
    <w:rsid w:val="00786B78"/>
    <w:rsid w:val="00786C4C"/>
    <w:rsid w:val="00793586"/>
    <w:rsid w:val="007B0BBB"/>
    <w:rsid w:val="008036B2"/>
    <w:rsid w:val="00827752"/>
    <w:rsid w:val="00867D91"/>
    <w:rsid w:val="00881942"/>
    <w:rsid w:val="00895480"/>
    <w:rsid w:val="008B34A6"/>
    <w:rsid w:val="008B6CC6"/>
    <w:rsid w:val="008F4C48"/>
    <w:rsid w:val="009174C3"/>
    <w:rsid w:val="0096107A"/>
    <w:rsid w:val="0098508C"/>
    <w:rsid w:val="00AD30C5"/>
    <w:rsid w:val="00B128A6"/>
    <w:rsid w:val="00B52944"/>
    <w:rsid w:val="00BD1A42"/>
    <w:rsid w:val="00BD7C56"/>
    <w:rsid w:val="00BE0B3C"/>
    <w:rsid w:val="00C26CF5"/>
    <w:rsid w:val="00C55A86"/>
    <w:rsid w:val="00C64D3D"/>
    <w:rsid w:val="00CC2AB1"/>
    <w:rsid w:val="00CE258B"/>
    <w:rsid w:val="00CF0CC0"/>
    <w:rsid w:val="00D16E24"/>
    <w:rsid w:val="00D30009"/>
    <w:rsid w:val="00DC0663"/>
    <w:rsid w:val="00E925CE"/>
    <w:rsid w:val="00EE1DB8"/>
    <w:rsid w:val="00F13FF1"/>
    <w:rsid w:val="00F706C6"/>
    <w:rsid w:val="00F76732"/>
    <w:rsid w:val="00F83AEC"/>
    <w:rsid w:val="00FD2B94"/>
    <w:rsid w:val="00FD39EB"/>
    <w:rsid w:val="00FE2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796C5"/>
  <w15:docId w15:val="{6C4722D4-F106-498F-8D98-F1584F80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970"/>
  </w:style>
  <w:style w:type="paragraph" w:styleId="Judul1">
    <w:name w:val="heading 1"/>
    <w:next w:val="Normal"/>
    <w:link w:val="Judul1KAR"/>
    <w:uiPriority w:val="9"/>
    <w:qFormat/>
    <w:rsid w:val="00777C77"/>
    <w:pPr>
      <w:keepNext/>
      <w:keepLines/>
      <w:pBdr>
        <w:top w:val="nil"/>
        <w:left w:val="nil"/>
        <w:bottom w:val="nil"/>
        <w:right w:val="nil"/>
        <w:between w:val="nil"/>
        <w:bar w:val="nil"/>
      </w:pBdr>
      <w:spacing w:before="240" w:after="120" w:line="360" w:lineRule="auto"/>
      <w:outlineLvl w:val="0"/>
    </w:pPr>
    <w:rPr>
      <w:rFonts w:ascii="Times New Roman Bold" w:eastAsia="Times New Roman Bold" w:hAnsi="Times New Roman Bold" w:cs="Times New Roman Bold"/>
      <w:color w:val="000000"/>
      <w:sz w:val="28"/>
      <w:szCs w:val="28"/>
      <w:u w:color="000000"/>
      <w:bdr w:val="nil"/>
      <w:lang w:eastAsia="fi-FI"/>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 w:val="24"/>
      <w:szCs w:val="24"/>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uiPriority w:val="10"/>
    <w:qFormat/>
    <w:pPr>
      <w:keepNext/>
      <w:keepLines/>
      <w:spacing w:before="480" w:after="120"/>
    </w:pPr>
    <w:rPr>
      <w:b/>
      <w:sz w:val="72"/>
      <w:szCs w:val="72"/>
    </w:rPr>
  </w:style>
  <w:style w:type="character" w:customStyle="1" w:styleId="Judul1KAR">
    <w:name w:val="Judul 1 KAR"/>
    <w:basedOn w:val="FontParagrafDefault"/>
    <w:link w:val="Judul1"/>
    <w:rsid w:val="00777C77"/>
    <w:rPr>
      <w:rFonts w:ascii="Times New Roman Bold" w:eastAsia="Times New Roman Bold" w:hAnsi="Times New Roman Bold" w:cs="Times New Roman Bold"/>
      <w:color w:val="000000"/>
      <w:sz w:val="28"/>
      <w:szCs w:val="28"/>
      <w:u w:color="000000"/>
      <w:bdr w:val="nil"/>
      <w:lang w:eastAsia="fi-FI"/>
    </w:rPr>
  </w:style>
  <w:style w:type="character" w:styleId="Hyperlink">
    <w:name w:val="Hyperlink"/>
    <w:basedOn w:val="FontParagrafDefault"/>
    <w:uiPriority w:val="99"/>
    <w:unhideWhenUsed/>
    <w:rsid w:val="00777C77"/>
    <w:rPr>
      <w:color w:val="0563C1" w:themeColor="hyperlink"/>
      <w:u w:val="single"/>
    </w:rPr>
  </w:style>
  <w:style w:type="paragraph" w:styleId="DaftarParagraf">
    <w:name w:val="List Paragraph"/>
    <w:basedOn w:val="Normal"/>
    <w:uiPriority w:val="99"/>
    <w:qFormat/>
    <w:rsid w:val="0028653E"/>
    <w:pPr>
      <w:ind w:left="720"/>
      <w:contextualSpacing/>
    </w:pPr>
  </w:style>
  <w:style w:type="paragraph" w:styleId="TeksCatatanKaki">
    <w:name w:val="footnote text"/>
    <w:basedOn w:val="Normal"/>
    <w:link w:val="TeksCatatanKakiKAR"/>
    <w:uiPriority w:val="99"/>
    <w:rsid w:val="0028653E"/>
    <w:pPr>
      <w:spacing w:after="0" w:line="240" w:lineRule="auto"/>
    </w:pPr>
    <w:rPr>
      <w:rFonts w:ascii="Times New Roman" w:eastAsia="SimSun" w:hAnsi="Times New Roman" w:cs="Times New Roman"/>
      <w:sz w:val="20"/>
      <w:szCs w:val="20"/>
      <w:lang w:eastAsia="zh-CN"/>
    </w:rPr>
  </w:style>
  <w:style w:type="character" w:customStyle="1" w:styleId="TeksCatatanKakiKAR">
    <w:name w:val="Teks Catatan Kaki KAR"/>
    <w:basedOn w:val="FontParagrafDefault"/>
    <w:link w:val="TeksCatatanKaki"/>
    <w:uiPriority w:val="99"/>
    <w:rsid w:val="0028653E"/>
    <w:rPr>
      <w:rFonts w:ascii="Times New Roman" w:eastAsia="SimSun" w:hAnsi="Times New Roman" w:cs="Times New Roman"/>
      <w:sz w:val="20"/>
      <w:szCs w:val="20"/>
      <w:lang w:eastAsia="zh-CN"/>
    </w:rPr>
  </w:style>
  <w:style w:type="character" w:styleId="ReferensiCatatanKaki">
    <w:name w:val="footnote reference"/>
    <w:uiPriority w:val="99"/>
    <w:rsid w:val="0028653E"/>
    <w:rPr>
      <w:vertAlign w:val="superscript"/>
    </w:rPr>
  </w:style>
  <w:style w:type="paragraph" w:styleId="Header">
    <w:name w:val="header"/>
    <w:basedOn w:val="Normal"/>
    <w:link w:val="HeaderKAR"/>
    <w:uiPriority w:val="99"/>
    <w:unhideWhenUsed/>
    <w:rsid w:val="00E64FE6"/>
    <w:pPr>
      <w:tabs>
        <w:tab w:val="center" w:pos="4680"/>
        <w:tab w:val="right" w:pos="9360"/>
      </w:tabs>
      <w:spacing w:after="0" w:line="240" w:lineRule="auto"/>
    </w:pPr>
  </w:style>
  <w:style w:type="character" w:customStyle="1" w:styleId="HeaderKAR">
    <w:name w:val="Header KAR"/>
    <w:basedOn w:val="FontParagrafDefault"/>
    <w:link w:val="Header"/>
    <w:uiPriority w:val="99"/>
    <w:rsid w:val="00E64FE6"/>
  </w:style>
  <w:style w:type="paragraph" w:styleId="Footer">
    <w:name w:val="footer"/>
    <w:basedOn w:val="Normal"/>
    <w:link w:val="FooterKAR"/>
    <w:uiPriority w:val="99"/>
    <w:unhideWhenUsed/>
    <w:rsid w:val="00E64FE6"/>
    <w:pPr>
      <w:tabs>
        <w:tab w:val="center" w:pos="4680"/>
        <w:tab w:val="right" w:pos="9360"/>
      </w:tabs>
      <w:spacing w:after="0" w:line="240" w:lineRule="auto"/>
    </w:pPr>
  </w:style>
  <w:style w:type="character" w:customStyle="1" w:styleId="FooterKAR">
    <w:name w:val="Footer KAR"/>
    <w:basedOn w:val="FontParagrafDefault"/>
    <w:link w:val="Footer"/>
    <w:uiPriority w:val="99"/>
    <w:rsid w:val="00E64FE6"/>
  </w:style>
  <w:style w:type="character" w:customStyle="1" w:styleId="UnresolvedMention1">
    <w:name w:val="Unresolved Mention1"/>
    <w:basedOn w:val="FontParagrafDefault"/>
    <w:uiPriority w:val="99"/>
    <w:semiHidden/>
    <w:unhideWhenUsed/>
    <w:rsid w:val="003D33E3"/>
    <w:rPr>
      <w:color w:val="605E5C"/>
      <w:shd w:val="clear" w:color="auto" w:fill="E1DFDD"/>
    </w:rPr>
  </w:style>
  <w:style w:type="paragraph" w:styleId="TeksBalon">
    <w:name w:val="Balloon Text"/>
    <w:basedOn w:val="Normal"/>
    <w:link w:val="TeksBalonKAR"/>
    <w:uiPriority w:val="99"/>
    <w:semiHidden/>
    <w:unhideWhenUsed/>
    <w:rsid w:val="00F51BF7"/>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1BF7"/>
    <w:rPr>
      <w:rFonts w:ascii="Tahoma" w:hAnsi="Tahoma" w:cs="Tahoma"/>
      <w:sz w:val="16"/>
      <w:szCs w:val="16"/>
    </w:rPr>
  </w:style>
  <w:style w:type="paragraph" w:customStyle="1" w:styleId="footnotedescription">
    <w:name w:val="footnote description"/>
    <w:next w:val="Normal"/>
    <w:link w:val="footnotedescriptionChar"/>
    <w:hidden/>
    <w:rsid w:val="00F51BF7"/>
    <w:pPr>
      <w:spacing w:after="0"/>
      <w:ind w:left="83"/>
    </w:pPr>
    <w:rPr>
      <w:color w:val="000000"/>
      <w:kern w:val="2"/>
      <w:sz w:val="20"/>
      <w:szCs w:val="24"/>
      <w:lang w:val="id-ID" w:eastAsia="id-ID"/>
    </w:rPr>
  </w:style>
  <w:style w:type="character" w:customStyle="1" w:styleId="footnotedescriptionChar">
    <w:name w:val="footnote description Char"/>
    <w:link w:val="footnotedescription"/>
    <w:rsid w:val="00F51BF7"/>
    <w:rPr>
      <w:rFonts w:ascii="Calibri" w:eastAsia="Calibri" w:hAnsi="Calibri" w:cs="Calibri"/>
      <w:color w:val="000000"/>
      <w:kern w:val="2"/>
      <w:sz w:val="20"/>
      <w:szCs w:val="24"/>
      <w:lang w:val="id-ID" w:eastAsia="id-ID"/>
    </w:rPr>
  </w:style>
  <w:style w:type="character" w:customStyle="1" w:styleId="UnresolvedMention2">
    <w:name w:val="Unresolved Mention2"/>
    <w:basedOn w:val="FontParagrafDefault"/>
    <w:uiPriority w:val="99"/>
    <w:semiHidden/>
    <w:unhideWhenUsed/>
    <w:rsid w:val="00A72CF0"/>
    <w:rPr>
      <w:color w:val="605E5C"/>
      <w:shd w:val="clear" w:color="auto" w:fill="E1DFDD"/>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Tempatpenampungteks">
    <w:name w:val="Placeholder Text"/>
    <w:basedOn w:val="FontParagrafDefault"/>
    <w:uiPriority w:val="99"/>
    <w:semiHidden/>
    <w:rsid w:val="00C26CF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84511">
      <w:bodyDiv w:val="1"/>
      <w:marLeft w:val="0"/>
      <w:marRight w:val="0"/>
      <w:marTop w:val="0"/>
      <w:marBottom w:val="0"/>
      <w:divBdr>
        <w:top w:val="none" w:sz="0" w:space="0" w:color="auto"/>
        <w:left w:val="none" w:sz="0" w:space="0" w:color="auto"/>
        <w:bottom w:val="none" w:sz="0" w:space="0" w:color="auto"/>
        <w:right w:val="none" w:sz="0" w:space="0" w:color="auto"/>
      </w:divBdr>
    </w:div>
    <w:div w:id="7497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anizarhakami149@gmail.com"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anggunakunoppo@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rimulyanahaliva@gmail.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nai.cn02@gmail.com"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Karismaalip861@gmail.com" TargetMode="External"/><Relationship Id="rId14" Type="http://schemas.openxmlformats.org/officeDocument/2006/relationships/hyperlink" Target="https://scholar.google.co.id/scholar?oi=bibs&amp;cluster=12381101075254007066&amp;btnI=1&amp;hl=id"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scholar.google.co.id/scholar?oi=bibs&amp;cluster=12381101075254007066&amp;btnI=1&amp;hl=id"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HzS8f+fxBCssP4jUwu3ov64jXQ==">CgMxLjA4AHIhMVFVZnFRMjQzdFlESnhDOTZYbjB1SmpRQ2RNTXFja1BN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1CF11A-01F1-4CD2-B7CB-5DA98EFCF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4455</Words>
  <Characters>25398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skinny T</dc:creator>
  <cp:lastModifiedBy>Elita Rahmi</cp:lastModifiedBy>
  <cp:revision>2</cp:revision>
  <dcterms:created xsi:type="dcterms:W3CDTF">2026-05-20T04:49:00Z</dcterms:created>
  <dcterms:modified xsi:type="dcterms:W3CDTF">2026-05-20T04:49:00Z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Citation Style_1">
    <vt:lpwstr>http://www.zotero.org/styles/chicago-fullnote-bibliography</vt:lpwstr>
  </property>
  <property fmtid="{D5CDD505-2E9C-101B-9397-08002B2CF9AE}" pid="23" name="Mendeley Document_1">
    <vt:lpwstr>True</vt:lpwstr>
  </property>
  <property fmtid="{D5CDD505-2E9C-101B-9397-08002B2CF9AE}" pid="24" name="Mendeley Unique User Id_1">
    <vt:lpwstr>14df0c3e-1e47-328f-8577-315a976e87fc</vt:lpwstr>
  </property>
</Properties>
</file>