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DFA1" w14:textId="78C3C72F" w:rsidR="00BC4D19" w:rsidRPr="00591BD8" w:rsidRDefault="00FA39F0" w:rsidP="008377FE">
      <w:pPr>
        <w:pStyle w:val="E-JournalTitle"/>
        <w:ind w:firstLine="0"/>
        <w:jc w:val="right"/>
        <w:rPr>
          <w:lang w:val="en-US"/>
        </w:rPr>
      </w:pPr>
      <w:r w:rsidRPr="00591BD8">
        <w:rPr>
          <w:sz w:val="24"/>
          <w:szCs w:val="24"/>
        </w:rPr>
        <w:t>COGNITIVE</w:t>
      </w:r>
      <w:r w:rsidR="006C0E23">
        <w:rPr>
          <w:sz w:val="24"/>
          <w:szCs w:val="24"/>
        </w:rPr>
        <w:t xml:space="preserve"> </w:t>
      </w:r>
      <w:r w:rsidRPr="00591BD8">
        <w:rPr>
          <w:sz w:val="24"/>
          <w:szCs w:val="24"/>
        </w:rPr>
        <w:t>PSYCHOLOGY STUDY AND MATHEMATICAL PROCESS SKILLS ON STUDENTS' ANSWERS IN MATHEMATICS LEARNING IN COMPARATIVE MATERIAL</w:t>
      </w:r>
    </w:p>
    <w:p w14:paraId="520A4DE7" w14:textId="77777777" w:rsidR="00885C83" w:rsidRDefault="00885C83" w:rsidP="00885C83">
      <w:pPr>
        <w:spacing w:after="0" w:line="240" w:lineRule="auto"/>
        <w:jc w:val="both"/>
        <w:rPr>
          <w:rFonts w:ascii="Times New Roman" w:hAnsi="Times New Roman"/>
          <w:lang w:val="id-ID"/>
        </w:rPr>
      </w:pPr>
    </w:p>
    <w:p w14:paraId="015E3BA0" w14:textId="3E7A8736" w:rsidR="00885C83" w:rsidRPr="00885C83" w:rsidRDefault="00885C83" w:rsidP="00885C83">
      <w:pPr>
        <w:spacing w:after="0" w:line="240" w:lineRule="auto"/>
        <w:jc w:val="both"/>
        <w:rPr>
          <w:rFonts w:ascii="Times New Roman" w:hAnsi="Times New Roman"/>
          <w:vertAlign w:val="superscript"/>
          <w:lang w:val="id-ID"/>
        </w:rPr>
      </w:pPr>
      <w:r w:rsidRPr="00885C83">
        <w:rPr>
          <w:rFonts w:ascii="Times New Roman" w:hAnsi="Times New Roman"/>
          <w:lang w:val="id-ID"/>
        </w:rPr>
        <w:t>Kamid</w:t>
      </w:r>
      <w:r>
        <w:rPr>
          <w:rFonts w:ascii="Times New Roman" w:hAnsi="Times New Roman"/>
          <w:vertAlign w:val="superscript"/>
          <w:lang w:val="id-ID"/>
        </w:rPr>
        <w:t>1</w:t>
      </w:r>
      <w:r w:rsidRPr="00885C83">
        <w:rPr>
          <w:rFonts w:ascii="Times New Roman" w:hAnsi="Times New Roman"/>
          <w:lang w:val="id-ID"/>
        </w:rPr>
        <w:t>, Yelli Ramalisa</w:t>
      </w:r>
      <w:r>
        <w:rPr>
          <w:rFonts w:ascii="Times New Roman" w:hAnsi="Times New Roman"/>
          <w:vertAlign w:val="superscript"/>
          <w:lang w:val="id-ID"/>
        </w:rPr>
        <w:t>1</w:t>
      </w:r>
      <w:r w:rsidRPr="00885C83">
        <w:rPr>
          <w:rFonts w:ascii="Times New Roman" w:hAnsi="Times New Roman"/>
          <w:lang w:val="id-ID"/>
        </w:rPr>
        <w:t>, Rohati</w:t>
      </w:r>
      <w:r>
        <w:rPr>
          <w:rFonts w:ascii="Times New Roman" w:hAnsi="Times New Roman"/>
          <w:vertAlign w:val="superscript"/>
          <w:lang w:val="id-ID"/>
        </w:rPr>
        <w:t>1</w:t>
      </w:r>
      <w:r w:rsidRPr="00885C83">
        <w:rPr>
          <w:rFonts w:ascii="Times New Roman" w:hAnsi="Times New Roman"/>
          <w:lang w:val="id-ID"/>
        </w:rPr>
        <w:t xml:space="preserve">, </w:t>
      </w:r>
      <w:r>
        <w:rPr>
          <w:rFonts w:ascii="Times New Roman" w:hAnsi="Times New Roman"/>
          <w:lang w:val="id-ID"/>
        </w:rPr>
        <w:t>Rita Ningsih</w:t>
      </w:r>
      <w:r>
        <w:rPr>
          <w:rFonts w:ascii="Times New Roman" w:hAnsi="Times New Roman"/>
          <w:vertAlign w:val="superscript"/>
          <w:lang w:val="id-ID"/>
        </w:rPr>
        <w:t>1</w:t>
      </w:r>
      <w:r>
        <w:rPr>
          <w:rFonts w:ascii="Times New Roman" w:hAnsi="Times New Roman"/>
          <w:lang w:val="id-ID"/>
        </w:rPr>
        <w:t>, Balqis Saffanah Nabilah</w:t>
      </w:r>
      <w:r>
        <w:rPr>
          <w:rFonts w:ascii="Times New Roman" w:hAnsi="Times New Roman"/>
          <w:vertAlign w:val="superscript"/>
          <w:lang w:val="id-ID"/>
        </w:rPr>
        <w:t>1</w:t>
      </w:r>
    </w:p>
    <w:p w14:paraId="17222BF7" w14:textId="0A64AD43" w:rsidR="00885C83" w:rsidRPr="00885C83" w:rsidRDefault="00885C83" w:rsidP="00885C83">
      <w:pPr>
        <w:spacing w:after="0" w:line="240" w:lineRule="auto"/>
        <w:jc w:val="both"/>
        <w:rPr>
          <w:rFonts w:ascii="Times New Roman" w:hAnsi="Times New Roman"/>
          <w:sz w:val="20"/>
          <w:szCs w:val="20"/>
        </w:rPr>
      </w:pPr>
      <w:r w:rsidRPr="00885C83">
        <w:rPr>
          <w:rFonts w:ascii="Times New Roman" w:hAnsi="Times New Roman"/>
          <w:sz w:val="20"/>
          <w:szCs w:val="20"/>
          <w:vertAlign w:val="superscript"/>
          <w:lang w:val="id-ID"/>
        </w:rPr>
        <w:t>1</w:t>
      </w:r>
      <w:r>
        <w:rPr>
          <w:rFonts w:ascii="Times New Roman" w:hAnsi="Times New Roman"/>
          <w:sz w:val="20"/>
          <w:szCs w:val="20"/>
          <w:lang w:val="id-ID"/>
        </w:rPr>
        <w:t>Faculty of Teaching and Education, U</w:t>
      </w:r>
      <w:r w:rsidRPr="00885C83">
        <w:rPr>
          <w:rFonts w:ascii="Times New Roman" w:hAnsi="Times New Roman"/>
          <w:sz w:val="20"/>
          <w:szCs w:val="20"/>
          <w:lang w:val="id-ID"/>
        </w:rPr>
        <w:t>niversitas Jambi, Jambi, Indonesia</w:t>
      </w:r>
    </w:p>
    <w:p w14:paraId="14FD571C" w14:textId="77777777" w:rsidR="00885C83" w:rsidRPr="00885C83" w:rsidRDefault="00885C83" w:rsidP="00885C83">
      <w:pPr>
        <w:spacing w:after="0" w:line="240" w:lineRule="auto"/>
        <w:jc w:val="both"/>
        <w:rPr>
          <w:rFonts w:ascii="Times New Roman" w:hAnsi="Times New Roman"/>
          <w:sz w:val="20"/>
          <w:szCs w:val="20"/>
        </w:rPr>
      </w:pPr>
      <w:r w:rsidRPr="00885C83">
        <w:rPr>
          <w:rFonts w:ascii="Times New Roman" w:hAnsi="Times New Roman"/>
          <w:sz w:val="20"/>
          <w:szCs w:val="20"/>
          <w:lang w:val="id-ID"/>
        </w:rPr>
        <w:t>ORCIDs: (Times New Roman, 11 Pt)</w:t>
      </w:r>
    </w:p>
    <w:p w14:paraId="56038AE0" w14:textId="77777777" w:rsidR="00885C83" w:rsidRPr="00885C83" w:rsidRDefault="00885C83" w:rsidP="00885C83">
      <w:pPr>
        <w:spacing w:after="0" w:line="240" w:lineRule="auto"/>
        <w:jc w:val="both"/>
        <w:rPr>
          <w:rFonts w:ascii="Times New Roman" w:hAnsi="Times New Roman"/>
          <w:sz w:val="20"/>
          <w:szCs w:val="20"/>
        </w:rPr>
      </w:pPr>
      <w:r w:rsidRPr="00885C83">
        <w:rPr>
          <w:rFonts w:ascii="Times New Roman" w:hAnsi="Times New Roman"/>
          <w:sz w:val="20"/>
          <w:szCs w:val="20"/>
          <w:lang w:val="id-ID"/>
        </w:rPr>
        <w:t xml:space="preserve">First AUTHOR </w:t>
      </w:r>
      <w:r w:rsidRPr="00885C83">
        <w:rPr>
          <w:rFonts w:ascii="Times New Roman" w:hAnsi="Times New Roman"/>
          <w:sz w:val="20"/>
          <w:szCs w:val="20"/>
          <w:lang w:val="id-ID"/>
        </w:rPr>
        <w:tab/>
      </w:r>
      <w:r w:rsidRPr="00885C83">
        <w:rPr>
          <w:rFonts w:ascii="Times New Roman" w:hAnsi="Times New Roman"/>
          <w:sz w:val="20"/>
          <w:szCs w:val="20"/>
          <w:lang w:val="id-ID"/>
        </w:rPr>
        <w:tab/>
        <w:t xml:space="preserve">: </w:t>
      </w:r>
      <w:r w:rsidRPr="00885C83">
        <w:rPr>
          <w:rFonts w:ascii="Times New Roman" w:hAnsi="Times New Roman"/>
          <w:lang w:val="id-ID"/>
        </w:rPr>
        <w:fldChar w:fldCharType="begin"/>
      </w:r>
      <w:r w:rsidRPr="00885C83">
        <w:rPr>
          <w:rFonts w:ascii="Times New Roman" w:hAnsi="Times New Roman"/>
          <w:lang w:val="id-ID"/>
        </w:rPr>
        <w:instrText>HYPERLINK "http://orcid.org/11394928923-121212"</w:instrText>
      </w:r>
      <w:r w:rsidRPr="00885C83">
        <w:rPr>
          <w:rFonts w:ascii="Times New Roman" w:hAnsi="Times New Roman"/>
          <w:lang w:val="id-ID"/>
        </w:rPr>
      </w:r>
      <w:r w:rsidRPr="00885C83">
        <w:rPr>
          <w:rFonts w:ascii="Times New Roman" w:hAnsi="Times New Roman"/>
          <w:lang w:val="id-ID"/>
        </w:rPr>
        <w:fldChar w:fldCharType="separate"/>
      </w:r>
      <w:r w:rsidRPr="00885C83">
        <w:rPr>
          <w:rFonts w:ascii="Times New Roman" w:hAnsi="Times New Roman"/>
          <w:color w:val="0563C1" w:themeColor="hyperlink"/>
          <w:sz w:val="20"/>
          <w:szCs w:val="20"/>
          <w:u w:val="single"/>
          <w:lang w:val="id-ID"/>
        </w:rPr>
        <w:t>http://orcid.org/11394928923-121212</w:t>
      </w:r>
      <w:r w:rsidRPr="00885C83">
        <w:rPr>
          <w:rFonts w:ascii="Times New Roman" w:hAnsi="Times New Roman"/>
          <w:lang w:val="id-ID"/>
        </w:rPr>
        <w:fldChar w:fldCharType="end"/>
      </w:r>
    </w:p>
    <w:p w14:paraId="60F39052" w14:textId="77777777" w:rsidR="00885C83" w:rsidRPr="00885C83" w:rsidRDefault="00885C83" w:rsidP="00885C83">
      <w:pPr>
        <w:spacing w:after="0" w:line="240" w:lineRule="auto"/>
        <w:jc w:val="both"/>
        <w:rPr>
          <w:rFonts w:ascii="Times New Roman" w:hAnsi="Times New Roman"/>
          <w:sz w:val="20"/>
          <w:szCs w:val="20"/>
        </w:rPr>
      </w:pPr>
      <w:r w:rsidRPr="00885C83">
        <w:rPr>
          <w:rFonts w:ascii="Times New Roman" w:hAnsi="Times New Roman"/>
          <w:sz w:val="20"/>
          <w:szCs w:val="20"/>
          <w:lang w:val="id-ID"/>
        </w:rPr>
        <w:t>Second AUTHOR</w:t>
      </w:r>
      <w:r w:rsidRPr="00885C83">
        <w:rPr>
          <w:rFonts w:ascii="Times New Roman" w:hAnsi="Times New Roman"/>
          <w:sz w:val="20"/>
          <w:szCs w:val="20"/>
          <w:lang w:val="id-ID"/>
        </w:rPr>
        <w:tab/>
        <w:t xml:space="preserve">: </w:t>
      </w:r>
      <w:r w:rsidRPr="00885C83">
        <w:rPr>
          <w:rFonts w:ascii="Times New Roman" w:hAnsi="Times New Roman"/>
          <w:lang w:val="id-ID"/>
        </w:rPr>
        <w:fldChar w:fldCharType="begin"/>
      </w:r>
      <w:r w:rsidRPr="00885C83">
        <w:rPr>
          <w:rFonts w:ascii="Times New Roman" w:hAnsi="Times New Roman"/>
          <w:lang w:val="id-ID"/>
        </w:rPr>
        <w:instrText>HYPERLINK "http://orcid.org/8y8ihe973197391371"</w:instrText>
      </w:r>
      <w:r w:rsidRPr="00885C83">
        <w:rPr>
          <w:rFonts w:ascii="Times New Roman" w:hAnsi="Times New Roman"/>
          <w:lang w:val="id-ID"/>
        </w:rPr>
      </w:r>
      <w:r w:rsidRPr="00885C83">
        <w:rPr>
          <w:rFonts w:ascii="Times New Roman" w:hAnsi="Times New Roman"/>
          <w:lang w:val="id-ID"/>
        </w:rPr>
        <w:fldChar w:fldCharType="separate"/>
      </w:r>
      <w:r w:rsidRPr="00885C83">
        <w:rPr>
          <w:rFonts w:ascii="Times New Roman" w:hAnsi="Times New Roman"/>
          <w:color w:val="0563C1" w:themeColor="hyperlink"/>
          <w:sz w:val="20"/>
          <w:szCs w:val="20"/>
          <w:u w:val="single"/>
          <w:lang w:val="id-ID"/>
        </w:rPr>
        <w:t>http://orcid.org/8y8ihe973197391371</w:t>
      </w:r>
      <w:r w:rsidRPr="00885C83">
        <w:rPr>
          <w:rFonts w:ascii="Times New Roman" w:hAnsi="Times New Roman"/>
          <w:lang w:val="id-ID"/>
        </w:rPr>
        <w:fldChar w:fldCharType="end"/>
      </w:r>
    </w:p>
    <w:p w14:paraId="7AF49352" w14:textId="77777777" w:rsidR="00885C83" w:rsidRPr="00885C83" w:rsidRDefault="00885C83" w:rsidP="00885C83">
      <w:pPr>
        <w:spacing w:after="0" w:line="240" w:lineRule="auto"/>
        <w:jc w:val="both"/>
        <w:rPr>
          <w:rFonts w:ascii="Times New Roman" w:hAnsi="Times New Roman"/>
          <w:sz w:val="20"/>
          <w:szCs w:val="20"/>
        </w:rPr>
      </w:pPr>
      <w:r w:rsidRPr="00885C83">
        <w:rPr>
          <w:rFonts w:ascii="Times New Roman" w:hAnsi="Times New Roman"/>
          <w:sz w:val="20"/>
          <w:szCs w:val="20"/>
          <w:lang w:val="id-ID"/>
        </w:rPr>
        <w:t>Third AUTHOR</w:t>
      </w:r>
      <w:r w:rsidRPr="00885C83">
        <w:rPr>
          <w:rFonts w:ascii="Times New Roman" w:hAnsi="Times New Roman"/>
          <w:sz w:val="20"/>
          <w:szCs w:val="20"/>
          <w:lang w:val="id-ID"/>
        </w:rPr>
        <w:tab/>
      </w:r>
      <w:r w:rsidRPr="00885C83">
        <w:rPr>
          <w:rFonts w:ascii="Times New Roman" w:hAnsi="Times New Roman"/>
          <w:sz w:val="20"/>
          <w:szCs w:val="20"/>
          <w:lang w:val="id-ID"/>
        </w:rPr>
        <w:tab/>
        <w:t xml:space="preserve">: </w:t>
      </w:r>
      <w:r w:rsidRPr="00885C83">
        <w:rPr>
          <w:rFonts w:ascii="Times New Roman" w:hAnsi="Times New Roman"/>
          <w:lang w:val="id-ID"/>
        </w:rPr>
        <w:fldChar w:fldCharType="begin"/>
      </w:r>
      <w:r w:rsidRPr="00885C83">
        <w:rPr>
          <w:rFonts w:ascii="Times New Roman" w:hAnsi="Times New Roman"/>
          <w:lang w:val="id-ID"/>
        </w:rPr>
        <w:instrText>HYPERLINK "http://orcid.org/kksnksdksjdoi0ei00e"</w:instrText>
      </w:r>
      <w:r w:rsidRPr="00885C83">
        <w:rPr>
          <w:rFonts w:ascii="Times New Roman" w:hAnsi="Times New Roman"/>
          <w:lang w:val="id-ID"/>
        </w:rPr>
      </w:r>
      <w:r w:rsidRPr="00885C83">
        <w:rPr>
          <w:rFonts w:ascii="Times New Roman" w:hAnsi="Times New Roman"/>
          <w:lang w:val="id-ID"/>
        </w:rPr>
        <w:fldChar w:fldCharType="separate"/>
      </w:r>
      <w:r w:rsidRPr="00885C83">
        <w:rPr>
          <w:rFonts w:ascii="Times New Roman" w:hAnsi="Times New Roman"/>
          <w:color w:val="0563C1" w:themeColor="hyperlink"/>
          <w:sz w:val="20"/>
          <w:szCs w:val="20"/>
          <w:u w:val="single"/>
          <w:lang w:val="id-ID"/>
        </w:rPr>
        <w:t>http://orcid.org/kksnksdksjdoi0ei00e</w:t>
      </w:r>
      <w:r w:rsidRPr="00885C83">
        <w:rPr>
          <w:rFonts w:ascii="Times New Roman" w:hAnsi="Times New Roman"/>
          <w:lang w:val="id-ID"/>
        </w:rPr>
        <w:fldChar w:fldCharType="end"/>
      </w:r>
    </w:p>
    <w:p w14:paraId="5A71E640" w14:textId="13C4A275" w:rsidR="00BC4D19" w:rsidRPr="00591BD8" w:rsidRDefault="00885C83" w:rsidP="00885C83">
      <w:pPr>
        <w:pStyle w:val="E-JournalTitle"/>
        <w:ind w:firstLine="0"/>
        <w:jc w:val="left"/>
        <w:rPr>
          <w:lang w:val="en-US"/>
        </w:rPr>
      </w:pPr>
      <w:r w:rsidRPr="00885C83">
        <w:rPr>
          <w:rFonts w:ascii="Calibri" w:hAnsi="Calibri"/>
          <w:b w:val="0"/>
          <w:lang w:val="en-US"/>
        </w:rPr>
        <w:t>Corresponding author email: kamid.math@unja.ac.id</w:t>
      </w:r>
    </w:p>
    <w:p w14:paraId="36FCACAA" w14:textId="77777777" w:rsidR="00BC4D19" w:rsidRPr="00591BD8" w:rsidRDefault="00BC4D19" w:rsidP="00BC4D1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684"/>
        <w:gridCol w:w="6513"/>
      </w:tblGrid>
      <w:tr w:rsidR="00CE2F30" w:rsidRPr="00591BD8" w14:paraId="6AAD2EF6" w14:textId="77777777" w:rsidTr="00391CC9">
        <w:tc>
          <w:tcPr>
            <w:tcW w:w="2716" w:type="dxa"/>
          </w:tcPr>
          <w:p w14:paraId="3AE1353B" w14:textId="77777777" w:rsidR="00CE2F30" w:rsidRPr="00591BD8" w:rsidRDefault="00CE2F30" w:rsidP="00CE2F30">
            <w:pPr>
              <w:spacing w:after="0" w:line="240" w:lineRule="auto"/>
              <w:rPr>
                <w:rFonts w:ascii="Times New Roman" w:hAnsi="Times New Roman"/>
                <w:b/>
                <w:color w:val="70AD47" w:themeColor="accent6"/>
              </w:rPr>
            </w:pPr>
            <w:r w:rsidRPr="00591BD8">
              <w:rPr>
                <w:rFonts w:ascii="Times New Roman" w:hAnsi="Times New Roman"/>
                <w:b/>
                <w:color w:val="70AD47" w:themeColor="accent6"/>
              </w:rPr>
              <w:t>Article Info</w:t>
            </w:r>
          </w:p>
          <w:p w14:paraId="6CC3ECF3" w14:textId="77777777" w:rsidR="00CE2F30" w:rsidRPr="00591BD8" w:rsidRDefault="00CE2F30" w:rsidP="00CE2F30">
            <w:pPr>
              <w:spacing w:after="0" w:line="240" w:lineRule="auto"/>
              <w:rPr>
                <w:rFonts w:ascii="Times New Roman" w:hAnsi="Times New Roman"/>
                <w:sz w:val="20"/>
                <w:szCs w:val="20"/>
              </w:rPr>
            </w:pPr>
            <w:r w:rsidRPr="00591BD8">
              <w:rPr>
                <w:rFonts w:ascii="Times New Roman" w:hAnsi="Times New Roman"/>
                <w:sz w:val="20"/>
                <w:szCs w:val="20"/>
              </w:rPr>
              <w:t>Received:</w:t>
            </w:r>
          </w:p>
          <w:p w14:paraId="33662249" w14:textId="77777777" w:rsidR="00CE2F30" w:rsidRPr="00591BD8" w:rsidRDefault="00CE2F30" w:rsidP="00CE2F30">
            <w:pPr>
              <w:spacing w:after="0" w:line="240" w:lineRule="auto"/>
              <w:rPr>
                <w:rFonts w:ascii="Times New Roman" w:hAnsi="Times New Roman"/>
                <w:sz w:val="20"/>
                <w:szCs w:val="20"/>
              </w:rPr>
            </w:pPr>
            <w:r w:rsidRPr="00591BD8">
              <w:rPr>
                <w:rFonts w:ascii="Times New Roman" w:hAnsi="Times New Roman"/>
                <w:sz w:val="20"/>
                <w:szCs w:val="20"/>
              </w:rPr>
              <w:t>Revised:</w:t>
            </w:r>
          </w:p>
          <w:p w14:paraId="703E15AC" w14:textId="77777777" w:rsidR="00CE2F30" w:rsidRPr="00591BD8" w:rsidRDefault="00CE2F30" w:rsidP="00CE2F30">
            <w:pPr>
              <w:spacing w:after="0" w:line="240" w:lineRule="auto"/>
              <w:rPr>
                <w:rFonts w:ascii="Times New Roman" w:hAnsi="Times New Roman"/>
                <w:sz w:val="20"/>
                <w:szCs w:val="20"/>
              </w:rPr>
            </w:pPr>
            <w:r w:rsidRPr="00591BD8">
              <w:rPr>
                <w:rFonts w:ascii="Times New Roman" w:hAnsi="Times New Roman"/>
                <w:sz w:val="20"/>
                <w:szCs w:val="20"/>
              </w:rPr>
              <w:t>Accepted:</w:t>
            </w:r>
          </w:p>
          <w:p w14:paraId="18D24872" w14:textId="77777777" w:rsidR="00CE2F30" w:rsidRPr="00591BD8" w:rsidRDefault="00CE2F30" w:rsidP="00CE2F30">
            <w:pPr>
              <w:spacing w:after="0" w:line="240" w:lineRule="auto"/>
              <w:rPr>
                <w:rFonts w:ascii="Times New Roman" w:hAnsi="Times New Roman"/>
              </w:rPr>
            </w:pPr>
            <w:proofErr w:type="spellStart"/>
            <w:r w:rsidRPr="00591BD8">
              <w:rPr>
                <w:rFonts w:ascii="Times New Roman" w:hAnsi="Times New Roman"/>
                <w:sz w:val="20"/>
                <w:szCs w:val="20"/>
              </w:rPr>
              <w:t>OnlineVersion</w:t>
            </w:r>
            <w:proofErr w:type="spellEnd"/>
            <w:r w:rsidRPr="00591BD8">
              <w:rPr>
                <w:rFonts w:ascii="Times New Roman" w:hAnsi="Times New Roman"/>
                <w:sz w:val="20"/>
                <w:szCs w:val="20"/>
              </w:rPr>
              <w:t>:</w:t>
            </w:r>
          </w:p>
          <w:p w14:paraId="5631F2B0" w14:textId="77777777" w:rsidR="00CE2F30" w:rsidRPr="00591BD8" w:rsidRDefault="00CE2F30" w:rsidP="00CE2F30">
            <w:pPr>
              <w:spacing w:after="0" w:line="240" w:lineRule="auto"/>
              <w:rPr>
                <w:rFonts w:ascii="Times New Roman" w:hAnsi="Times New Roman"/>
              </w:rPr>
            </w:pPr>
          </w:p>
        </w:tc>
        <w:tc>
          <w:tcPr>
            <w:tcW w:w="6570" w:type="dxa"/>
          </w:tcPr>
          <w:p w14:paraId="55382965" w14:textId="47812DCB" w:rsidR="00CE2F30" w:rsidRPr="00591BD8" w:rsidRDefault="00CE2F30" w:rsidP="00CE2F30">
            <w:pPr>
              <w:spacing w:after="0" w:line="240" w:lineRule="auto"/>
              <w:rPr>
                <w:rFonts w:ascii="Times New Roman" w:hAnsi="Times New Roman"/>
                <w:b/>
                <w:color w:val="70AD47" w:themeColor="accent6"/>
              </w:rPr>
            </w:pPr>
            <w:r w:rsidRPr="00591BD8">
              <w:rPr>
                <w:rFonts w:ascii="Times New Roman" w:hAnsi="Times New Roman"/>
                <w:b/>
                <w:color w:val="70AD47" w:themeColor="accent6"/>
              </w:rPr>
              <w:t>Abstract</w:t>
            </w:r>
          </w:p>
          <w:p w14:paraId="57B28872" w14:textId="77777777" w:rsidR="00524133" w:rsidRPr="00524133" w:rsidRDefault="00524133" w:rsidP="00524133">
            <w:pPr>
              <w:spacing w:after="0" w:line="240" w:lineRule="auto"/>
              <w:jc w:val="both"/>
              <w:rPr>
                <w:rFonts w:ascii="Times New Roman" w:hAnsi="Times New Roman"/>
                <w:lang w:val="en-ID"/>
              </w:rPr>
            </w:pPr>
            <w:r w:rsidRPr="00524133">
              <w:rPr>
                <w:rFonts w:ascii="Times New Roman" w:hAnsi="Times New Roman"/>
                <w:lang w:val="en-ID"/>
              </w:rPr>
              <w:t>This research explores the differences between the two schools regarding three key variables: students' cognitive psychology, mathematical processing skills, and responses to mathematics learning, specifically within the context of comparative material in Grade VII. Additionally, it seeks to compare these three variables to understand how they vary across the two institutions. The study adopts a quantitative approach, with purposive sampling used to select a sample of 120 Grade VII students from two junior high schools. Data were gathered using a questionnaire based on a Likert scale, and analysis was conducted using comparison tests through specialized data processing software. The results revealed significant differences in students' cognitive psychology, mathematical processing skills, and responses to mathematics learning between the two schools. These variations suggest underlying factors related to the learning environment, teaching strategies, or institutional differences that influence student performance and engagement in mathematics. What sets this study apart is its comprehensive comparison of cognitive and skill-based factors in mathematics learning across different school settings. Unlike previous research that examines these variables in isolation, this study integrates cognitive psychology and mathematical processing skills with student feedback, providing a holistic view of the learning experience. Doing so offers more profound insights into how school-specific conditions can shape students’ cognitive and mathematical abilities, thereby informing more tailored educational strategies to improve mathematics learning outcomes across diverse educational contexts.</w:t>
            </w:r>
          </w:p>
          <w:p w14:paraId="146C94EC" w14:textId="77777777" w:rsidR="00CE2F30" w:rsidRPr="00591BD8" w:rsidRDefault="00CE2F30" w:rsidP="00CE2F30">
            <w:pPr>
              <w:spacing w:after="0" w:line="240" w:lineRule="auto"/>
              <w:rPr>
                <w:rFonts w:ascii="Times New Roman" w:hAnsi="Times New Roman"/>
              </w:rPr>
            </w:pPr>
          </w:p>
          <w:p w14:paraId="2499E5B2" w14:textId="7C599A7E" w:rsidR="00CE2F30" w:rsidRPr="00591BD8" w:rsidRDefault="00CE2F30" w:rsidP="00CE2F30">
            <w:pPr>
              <w:spacing w:after="0" w:line="240" w:lineRule="auto"/>
              <w:rPr>
                <w:rFonts w:ascii="Times New Roman" w:hAnsi="Times New Roman"/>
              </w:rPr>
            </w:pPr>
            <w:r w:rsidRPr="00591BD8">
              <w:rPr>
                <w:rFonts w:ascii="Times New Roman" w:hAnsi="Times New Roman"/>
                <w:color w:val="70AD47" w:themeColor="accent6"/>
              </w:rPr>
              <w:t xml:space="preserve">Keywords: </w:t>
            </w:r>
            <w:r w:rsidR="00FA39F0" w:rsidRPr="00591BD8">
              <w:rPr>
                <w:rFonts w:ascii="Times New Roman" w:hAnsi="Times New Roman"/>
              </w:rPr>
              <w:t xml:space="preserve">Cognitive </w:t>
            </w:r>
            <w:r w:rsidR="00205137">
              <w:rPr>
                <w:rFonts w:ascii="Times New Roman" w:hAnsi="Times New Roman"/>
              </w:rPr>
              <w:t>P</w:t>
            </w:r>
            <w:r w:rsidR="00FA39F0" w:rsidRPr="00591BD8">
              <w:rPr>
                <w:rFonts w:ascii="Times New Roman" w:hAnsi="Times New Roman"/>
              </w:rPr>
              <w:t>sychology</w:t>
            </w:r>
            <w:r w:rsidR="00205137">
              <w:rPr>
                <w:rFonts w:ascii="Times New Roman" w:hAnsi="Times New Roman"/>
              </w:rPr>
              <w:t>,</w:t>
            </w:r>
            <w:r w:rsidR="00FA39F0" w:rsidRPr="00591BD8">
              <w:rPr>
                <w:rFonts w:ascii="Times New Roman" w:hAnsi="Times New Roman"/>
              </w:rPr>
              <w:t xml:space="preserve"> </w:t>
            </w:r>
            <w:proofErr w:type="spellStart"/>
            <w:r w:rsidR="00FA39F0" w:rsidRPr="00591BD8">
              <w:rPr>
                <w:rFonts w:ascii="Times New Roman" w:hAnsi="Times New Roman"/>
              </w:rPr>
              <w:t>Comperative</w:t>
            </w:r>
            <w:proofErr w:type="spellEnd"/>
            <w:r w:rsidR="00FA39F0" w:rsidRPr="00591BD8">
              <w:rPr>
                <w:rFonts w:ascii="Times New Roman" w:hAnsi="Times New Roman"/>
              </w:rPr>
              <w:t xml:space="preserve"> Material</w:t>
            </w:r>
            <w:r w:rsidR="00205137">
              <w:rPr>
                <w:rFonts w:ascii="Times New Roman" w:hAnsi="Times New Roman"/>
              </w:rPr>
              <w:t>,</w:t>
            </w:r>
            <w:r w:rsidR="00FA39F0" w:rsidRPr="00591BD8">
              <w:rPr>
                <w:rFonts w:ascii="Times New Roman" w:hAnsi="Times New Roman"/>
              </w:rPr>
              <w:t xml:space="preserve"> Mathematical </w:t>
            </w:r>
            <w:r w:rsidR="00205137">
              <w:rPr>
                <w:rFonts w:ascii="Times New Roman" w:hAnsi="Times New Roman"/>
              </w:rPr>
              <w:t>P</w:t>
            </w:r>
            <w:r w:rsidR="00FA39F0" w:rsidRPr="00591BD8">
              <w:rPr>
                <w:rFonts w:ascii="Times New Roman" w:hAnsi="Times New Roman"/>
              </w:rPr>
              <w:t xml:space="preserve">rocess </w:t>
            </w:r>
            <w:r w:rsidR="00205137">
              <w:rPr>
                <w:rFonts w:ascii="Times New Roman" w:hAnsi="Times New Roman"/>
              </w:rPr>
              <w:t>S</w:t>
            </w:r>
            <w:r w:rsidR="00FA39F0" w:rsidRPr="00591BD8">
              <w:rPr>
                <w:rFonts w:ascii="Times New Roman" w:hAnsi="Times New Roman"/>
              </w:rPr>
              <w:t>kills</w:t>
            </w:r>
            <w:r w:rsidR="00205137">
              <w:rPr>
                <w:rFonts w:ascii="Times New Roman" w:hAnsi="Times New Roman"/>
              </w:rPr>
              <w:t>,</w:t>
            </w:r>
            <w:r w:rsidR="00FA39F0" w:rsidRPr="00591BD8">
              <w:rPr>
                <w:rFonts w:ascii="Times New Roman" w:hAnsi="Times New Roman"/>
              </w:rPr>
              <w:t xml:space="preserve"> Student Responses</w:t>
            </w:r>
          </w:p>
          <w:p w14:paraId="3F0DADD6" w14:textId="77777777" w:rsidR="00CE2F30" w:rsidRPr="00591BD8" w:rsidRDefault="00CE2F30" w:rsidP="00CE2F30">
            <w:pPr>
              <w:spacing w:after="0" w:line="240" w:lineRule="auto"/>
              <w:rPr>
                <w:rFonts w:ascii="Times New Roman" w:hAnsi="Times New Roman"/>
                <w:i/>
                <w:iCs/>
              </w:rPr>
            </w:pPr>
          </w:p>
          <w:p w14:paraId="2BBD9298" w14:textId="22AB284E" w:rsidR="00F860A5" w:rsidRPr="00591BD8" w:rsidRDefault="00F860A5" w:rsidP="00CE2F30">
            <w:pPr>
              <w:spacing w:after="0" w:line="240" w:lineRule="auto"/>
              <w:jc w:val="right"/>
              <w:rPr>
                <w:rFonts w:ascii="Times New Roman" w:hAnsi="Times New Roman"/>
              </w:rPr>
            </w:pPr>
            <w:r w:rsidRPr="00591BD8">
              <w:rPr>
                <w:noProof/>
                <w:color w:val="0000FF"/>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591BD8" w:rsidRDefault="00F860A5" w:rsidP="00CE2F30">
            <w:pPr>
              <w:spacing w:after="0" w:line="240" w:lineRule="auto"/>
              <w:jc w:val="right"/>
              <w:rPr>
                <w:rFonts w:ascii="Times New Roman" w:hAnsi="Times New Roman"/>
              </w:rPr>
            </w:pPr>
            <w:r w:rsidRPr="00591BD8">
              <w:rPr>
                <w:rFonts w:ascii="Times New Roman" w:hAnsi="Times New Roman"/>
              </w:rPr>
              <w:t>© 2024 by the author(s)</w:t>
            </w:r>
          </w:p>
          <w:p w14:paraId="54D78243" w14:textId="1AB93C27" w:rsidR="00CE2F30" w:rsidRPr="00591BD8" w:rsidRDefault="00F860A5" w:rsidP="00F860A5">
            <w:pPr>
              <w:spacing w:after="0" w:line="240" w:lineRule="auto"/>
              <w:jc w:val="right"/>
              <w:rPr>
                <w:rFonts w:ascii="Times New Roman" w:hAnsi="Times New Roman"/>
              </w:rPr>
            </w:pPr>
            <w:r w:rsidRPr="00591BD8">
              <w:rPr>
                <w:rFonts w:ascii="Times New Roman" w:hAnsi="Times New Roman"/>
              </w:rPr>
              <w:t>This article is an open access article distributed under the terms and conditions of the Creative Commons Attribution (CC BY) license (</w:t>
            </w:r>
            <w:hyperlink r:id="rId10" w:history="1">
              <w:r w:rsidRPr="00591BD8">
                <w:rPr>
                  <w:rStyle w:val="Hyperlink"/>
                  <w:rFonts w:ascii="Times New Roman" w:hAnsi="Times New Roman"/>
                </w:rPr>
                <w:t>https://creativecommons.org/licenses/by/4.0/</w:t>
              </w:r>
            </w:hyperlink>
            <w:r w:rsidRPr="00591BD8">
              <w:rPr>
                <w:rFonts w:ascii="Times New Roman" w:hAnsi="Times New Roman"/>
              </w:rPr>
              <w:t>).</w:t>
            </w:r>
          </w:p>
        </w:tc>
      </w:tr>
    </w:tbl>
    <w:p w14:paraId="62B6C6DE" w14:textId="77777777" w:rsidR="00BC4D19" w:rsidRPr="00591BD8" w:rsidRDefault="00BC4D19" w:rsidP="00BC4D19">
      <w:pPr>
        <w:pStyle w:val="E-JournalHeading1"/>
      </w:pPr>
    </w:p>
    <w:p w14:paraId="51995DD5" w14:textId="77777777" w:rsidR="00516B09" w:rsidRDefault="00516B09" w:rsidP="00BC4D19">
      <w:pPr>
        <w:pStyle w:val="E-JournalHeading1"/>
        <w:rPr>
          <w:color w:val="70AD47" w:themeColor="accent6"/>
        </w:rPr>
      </w:pPr>
    </w:p>
    <w:p w14:paraId="51869F87" w14:textId="77777777" w:rsidR="00516B09" w:rsidRDefault="00516B09" w:rsidP="00BC4D19">
      <w:pPr>
        <w:pStyle w:val="E-JournalHeading1"/>
        <w:rPr>
          <w:color w:val="70AD47" w:themeColor="accent6"/>
        </w:rPr>
      </w:pPr>
    </w:p>
    <w:p w14:paraId="18F8116F" w14:textId="03B1A7FF" w:rsidR="00BC4D19" w:rsidRPr="00591BD8" w:rsidRDefault="00BC4D19" w:rsidP="00BC4D19">
      <w:pPr>
        <w:pStyle w:val="E-JournalHeading1"/>
        <w:rPr>
          <w:color w:val="70AD47" w:themeColor="accent6"/>
        </w:rPr>
      </w:pPr>
      <w:r w:rsidRPr="00591BD8">
        <w:rPr>
          <w:color w:val="70AD47" w:themeColor="accent6"/>
        </w:rPr>
        <w:lastRenderedPageBreak/>
        <w:t>INTRODUCTION</w:t>
      </w:r>
    </w:p>
    <w:p w14:paraId="5A1FB2F4" w14:textId="4BCD865A" w:rsidR="00FA39F0" w:rsidRPr="00591BD8" w:rsidRDefault="00FA39F0" w:rsidP="00FA39F0">
      <w:pPr>
        <w:pStyle w:val="E-JournalBody"/>
        <w:ind w:firstLine="709"/>
        <w:rPr>
          <w:szCs w:val="22"/>
        </w:rPr>
      </w:pPr>
      <w:r w:rsidRPr="00591BD8">
        <w:rPr>
          <w:szCs w:val="22"/>
        </w:rPr>
        <w:t>Learning is a complex and dynamic process that implies the acquisition of knowledge, skills, attitudes and values through diverse experiences (</w:t>
      </w:r>
      <w:r w:rsidRPr="00652287">
        <w:rPr>
          <w:szCs w:val="22"/>
          <w:highlight w:val="yellow"/>
        </w:rPr>
        <w:t>Dierks</w:t>
      </w:r>
      <w:r w:rsidRPr="00591BD8">
        <w:rPr>
          <w:szCs w:val="22"/>
        </w:rPr>
        <w:t xml:space="preserve"> et al., 2016; </w:t>
      </w:r>
      <w:r w:rsidRPr="00652287">
        <w:rPr>
          <w:szCs w:val="22"/>
          <w:highlight w:val="yellow"/>
        </w:rPr>
        <w:t>Warfa</w:t>
      </w:r>
      <w:r w:rsidRPr="00591BD8">
        <w:rPr>
          <w:szCs w:val="22"/>
        </w:rPr>
        <w:t xml:space="preserve"> et al., 2018</w:t>
      </w:r>
      <w:r w:rsidR="00F81FA6">
        <w:rPr>
          <w:szCs w:val="22"/>
        </w:rPr>
        <w:t xml:space="preserve">; </w:t>
      </w:r>
      <w:r w:rsidR="00F81FA6" w:rsidRPr="00F81FA6">
        <w:rPr>
          <w:szCs w:val="22"/>
          <w:lang w:val="en-US"/>
        </w:rPr>
        <w:t>Azis</w:t>
      </w:r>
      <w:r w:rsidR="00F81FA6">
        <w:rPr>
          <w:szCs w:val="22"/>
          <w:lang w:val="en-US"/>
        </w:rPr>
        <w:t xml:space="preserve"> </w:t>
      </w:r>
      <w:r w:rsidR="00F81FA6" w:rsidRPr="00F81FA6">
        <w:rPr>
          <w:szCs w:val="22"/>
          <w:lang w:val="en-US"/>
        </w:rPr>
        <w:t xml:space="preserve">&amp; </w:t>
      </w:r>
      <w:proofErr w:type="spellStart"/>
      <w:r w:rsidR="00F81FA6" w:rsidRPr="00F81FA6">
        <w:rPr>
          <w:szCs w:val="22"/>
          <w:lang w:val="en-US"/>
        </w:rPr>
        <w:t>Clefoto</w:t>
      </w:r>
      <w:proofErr w:type="spellEnd"/>
      <w:r w:rsidR="00F81FA6">
        <w:rPr>
          <w:szCs w:val="22"/>
          <w:lang w:val="en-US"/>
        </w:rPr>
        <w:t>, 2024</w:t>
      </w:r>
      <w:r w:rsidR="00741CB2">
        <w:rPr>
          <w:szCs w:val="22"/>
          <w:lang w:val="en-US"/>
        </w:rPr>
        <w:t xml:space="preserve">; </w:t>
      </w:r>
      <w:proofErr w:type="spellStart"/>
      <w:r w:rsidR="00741CB2" w:rsidRPr="00741CB2">
        <w:rPr>
          <w:szCs w:val="22"/>
          <w:lang w:val="en-US"/>
        </w:rPr>
        <w:t>Nuraeni</w:t>
      </w:r>
      <w:proofErr w:type="spellEnd"/>
      <w:r w:rsidR="00741CB2">
        <w:rPr>
          <w:szCs w:val="22"/>
          <w:lang w:val="en-US"/>
        </w:rPr>
        <w:t xml:space="preserve"> </w:t>
      </w:r>
      <w:r w:rsidR="00741CB2" w:rsidRPr="00741CB2">
        <w:rPr>
          <w:szCs w:val="22"/>
          <w:lang w:val="en-US"/>
        </w:rPr>
        <w:t xml:space="preserve">&amp; </w:t>
      </w:r>
      <w:proofErr w:type="spellStart"/>
      <w:r w:rsidR="00741CB2" w:rsidRPr="00741CB2">
        <w:rPr>
          <w:szCs w:val="22"/>
          <w:lang w:val="en-US"/>
        </w:rPr>
        <w:t>Inthaud</w:t>
      </w:r>
      <w:proofErr w:type="spellEnd"/>
      <w:r w:rsidR="00741CB2">
        <w:rPr>
          <w:szCs w:val="22"/>
          <w:lang w:val="en-US"/>
        </w:rPr>
        <w:t>, 2024</w:t>
      </w:r>
      <w:r w:rsidRPr="00591BD8">
        <w:rPr>
          <w:szCs w:val="22"/>
        </w:rPr>
        <w:t>). This process is not limited to formal classes, but also occurs through social interactions, observations and personal experiences. Learning is an essential basis for individual development and social progress (</w:t>
      </w:r>
      <w:r w:rsidRPr="00652287">
        <w:rPr>
          <w:szCs w:val="22"/>
          <w:highlight w:val="yellow"/>
        </w:rPr>
        <w:t>Everingham</w:t>
      </w:r>
      <w:r w:rsidRPr="00591BD8">
        <w:rPr>
          <w:szCs w:val="22"/>
        </w:rPr>
        <w:t xml:space="preserve"> et al., 2017; </w:t>
      </w:r>
      <w:r w:rsidRPr="00652287">
        <w:rPr>
          <w:szCs w:val="22"/>
          <w:highlight w:val="yellow"/>
        </w:rPr>
        <w:t>Gersch</w:t>
      </w:r>
      <w:r w:rsidRPr="00591BD8">
        <w:rPr>
          <w:szCs w:val="22"/>
        </w:rPr>
        <w:t xml:space="preserve">, 2018; </w:t>
      </w:r>
      <w:r w:rsidRPr="00652287">
        <w:rPr>
          <w:szCs w:val="22"/>
          <w:highlight w:val="yellow"/>
        </w:rPr>
        <w:t>Lavega</w:t>
      </w:r>
      <w:r w:rsidRPr="00591BD8">
        <w:rPr>
          <w:szCs w:val="22"/>
        </w:rPr>
        <w:t xml:space="preserve"> et al., 2018</w:t>
      </w:r>
      <w:r w:rsidR="00F81FA6">
        <w:rPr>
          <w:szCs w:val="22"/>
        </w:rPr>
        <w:t xml:space="preserve">; </w:t>
      </w:r>
      <w:r w:rsidR="00741CB2" w:rsidRPr="00741CB2">
        <w:rPr>
          <w:szCs w:val="22"/>
          <w:lang w:val="en-US"/>
        </w:rPr>
        <w:t xml:space="preserve">Badiah, </w:t>
      </w:r>
      <w:proofErr w:type="spellStart"/>
      <w:r w:rsidR="00741CB2" w:rsidRPr="00741CB2">
        <w:rPr>
          <w:szCs w:val="22"/>
          <w:lang w:val="en-US"/>
        </w:rPr>
        <w:t>Saefullah</w:t>
      </w:r>
      <w:proofErr w:type="spellEnd"/>
      <w:r w:rsidR="00741CB2" w:rsidRPr="00741CB2">
        <w:rPr>
          <w:szCs w:val="22"/>
          <w:lang w:val="en-US"/>
        </w:rPr>
        <w:t xml:space="preserve">, &amp; </w:t>
      </w:r>
      <w:proofErr w:type="spellStart"/>
      <w:r w:rsidR="00741CB2" w:rsidRPr="00741CB2">
        <w:rPr>
          <w:szCs w:val="22"/>
          <w:lang w:val="en-US"/>
        </w:rPr>
        <w:t>Antarnusa</w:t>
      </w:r>
      <w:proofErr w:type="spellEnd"/>
      <w:r w:rsidR="00741CB2">
        <w:rPr>
          <w:szCs w:val="22"/>
          <w:lang w:val="en-US"/>
        </w:rPr>
        <w:t xml:space="preserve">, 2024; </w:t>
      </w:r>
      <w:r w:rsidR="00F81FA6" w:rsidRPr="00F81FA6">
        <w:rPr>
          <w:szCs w:val="22"/>
          <w:lang w:val="en-US"/>
        </w:rPr>
        <w:t>Fitriana</w:t>
      </w:r>
      <w:r w:rsidR="00F81FA6">
        <w:rPr>
          <w:szCs w:val="22"/>
          <w:lang w:val="en-US"/>
        </w:rPr>
        <w:t xml:space="preserve"> </w:t>
      </w:r>
      <w:r w:rsidR="00F81FA6" w:rsidRPr="00F81FA6">
        <w:rPr>
          <w:szCs w:val="22"/>
          <w:lang w:val="en-US"/>
        </w:rPr>
        <w:t>&amp; Waswa</w:t>
      </w:r>
      <w:r w:rsidR="00F81FA6">
        <w:rPr>
          <w:szCs w:val="22"/>
          <w:lang w:val="en-US"/>
        </w:rPr>
        <w:t>, 2024</w:t>
      </w:r>
      <w:r w:rsidRPr="00591BD8">
        <w:rPr>
          <w:szCs w:val="22"/>
        </w:rPr>
        <w:t>). Through learning, people can develop the ability to think critically, solve problems and make informed decisions. In the current digital era, technology has become an important component in the learning process, providing a wide access to information and educational resources that enrich the learning experience (</w:t>
      </w:r>
      <w:r w:rsidR="00F81FA6" w:rsidRPr="00591BD8">
        <w:rPr>
          <w:szCs w:val="22"/>
        </w:rPr>
        <w:t>Piercey &amp; Militzer, 2017</w:t>
      </w:r>
      <w:r w:rsidR="00F81FA6">
        <w:rPr>
          <w:szCs w:val="22"/>
        </w:rPr>
        <w:t xml:space="preserve">; </w:t>
      </w:r>
      <w:r w:rsidRPr="008A7208">
        <w:rPr>
          <w:szCs w:val="22"/>
          <w:highlight w:val="yellow"/>
        </w:rPr>
        <w:t>Craig</w:t>
      </w:r>
      <w:r w:rsidRPr="00591BD8">
        <w:rPr>
          <w:szCs w:val="22"/>
        </w:rPr>
        <w:t xml:space="preserve"> et al., 2021; Gürsoy, 2021; </w:t>
      </w:r>
      <w:r w:rsidR="00F81FA6" w:rsidRPr="00F81FA6">
        <w:rPr>
          <w:szCs w:val="22"/>
          <w:lang w:val="en-US"/>
        </w:rPr>
        <w:t xml:space="preserve">Asamoah </w:t>
      </w:r>
      <w:r w:rsidR="00F81FA6">
        <w:rPr>
          <w:szCs w:val="22"/>
          <w:lang w:val="en-US"/>
        </w:rPr>
        <w:t>et al., 2024</w:t>
      </w:r>
      <w:r w:rsidRPr="00591BD8">
        <w:rPr>
          <w:szCs w:val="22"/>
        </w:rPr>
        <w:t>). Therefore, understanding various aspects of learning is the key to diseñar estratégias educativas que sean effective y relevante a las necesidades de los tiempos.</w:t>
      </w:r>
    </w:p>
    <w:p w14:paraId="0D2124E4" w14:textId="2C33F158" w:rsidR="00FA39F0" w:rsidRPr="00591BD8" w:rsidRDefault="00FA39F0" w:rsidP="00FA39F0">
      <w:pPr>
        <w:pStyle w:val="E-JournalBody"/>
        <w:ind w:firstLine="709"/>
        <w:rPr>
          <w:szCs w:val="22"/>
        </w:rPr>
      </w:pPr>
      <w:r w:rsidRPr="00591BD8">
        <w:rPr>
          <w:szCs w:val="22"/>
        </w:rPr>
        <w:t xml:space="preserve">  The learning of mathematics plays a crucial role in the educational system because mathematics is a universal language used to understand and interpret the world around us (</w:t>
      </w:r>
      <w:r w:rsidR="00741CB2" w:rsidRPr="00741CB2">
        <w:rPr>
          <w:szCs w:val="22"/>
          <w:lang w:val="en-US"/>
        </w:rPr>
        <w:t xml:space="preserve">Della </w:t>
      </w:r>
      <w:proofErr w:type="spellStart"/>
      <w:r w:rsidR="00741CB2" w:rsidRPr="00741CB2">
        <w:rPr>
          <w:szCs w:val="22"/>
          <w:lang w:val="en-US"/>
        </w:rPr>
        <w:t>Purba</w:t>
      </w:r>
      <w:proofErr w:type="spellEnd"/>
      <w:r w:rsidR="00741CB2">
        <w:rPr>
          <w:szCs w:val="22"/>
          <w:lang w:val="en-US"/>
        </w:rPr>
        <w:t xml:space="preserve"> </w:t>
      </w:r>
      <w:r w:rsidR="00741CB2" w:rsidRPr="00741CB2">
        <w:rPr>
          <w:szCs w:val="22"/>
          <w:lang w:val="en-US"/>
        </w:rPr>
        <w:t>&amp; Kohlhoff</w:t>
      </w:r>
      <w:r w:rsidR="00741CB2">
        <w:rPr>
          <w:szCs w:val="22"/>
          <w:lang w:val="en-US"/>
        </w:rPr>
        <w:t xml:space="preserve">, 2022; </w:t>
      </w:r>
      <w:r w:rsidRPr="00591BD8">
        <w:rPr>
          <w:szCs w:val="22"/>
        </w:rPr>
        <w:t>Theis &amp; Rohana, 2022</w:t>
      </w:r>
      <w:r w:rsidR="00741CB2">
        <w:rPr>
          <w:szCs w:val="22"/>
        </w:rPr>
        <w:t xml:space="preserve">; </w:t>
      </w:r>
      <w:r w:rsidR="00741CB2" w:rsidRPr="00591BD8">
        <w:rPr>
          <w:szCs w:val="22"/>
        </w:rPr>
        <w:t>Rosa et al., 2023</w:t>
      </w:r>
      <w:r w:rsidRPr="00591BD8">
        <w:rPr>
          <w:szCs w:val="22"/>
        </w:rPr>
        <w:t>). The process of learning mathematics implies developing analytical and logical skills through numerical, geometric and algebraic concepts. It is not only about memorizing formulas and procedures, but also about understanding the basic principles that support these concepts and how to apply them in various situations (</w:t>
      </w:r>
      <w:r w:rsidR="00741CB2" w:rsidRPr="00591BD8">
        <w:rPr>
          <w:szCs w:val="22"/>
        </w:rPr>
        <w:t>Renties et al., 2018</w:t>
      </w:r>
      <w:r w:rsidR="00741CB2">
        <w:rPr>
          <w:szCs w:val="22"/>
        </w:rPr>
        <w:t xml:space="preserve">; </w:t>
      </w:r>
      <w:r w:rsidRPr="00591BD8">
        <w:rPr>
          <w:szCs w:val="22"/>
        </w:rPr>
        <w:t xml:space="preserve">Kjeldsen, 2019; </w:t>
      </w:r>
      <w:proofErr w:type="spellStart"/>
      <w:r w:rsidR="00741CB2" w:rsidRPr="00741CB2">
        <w:rPr>
          <w:szCs w:val="22"/>
          <w:lang w:val="en-US"/>
        </w:rPr>
        <w:t>Sukamdi</w:t>
      </w:r>
      <w:proofErr w:type="spellEnd"/>
      <w:r w:rsidR="00741CB2" w:rsidRPr="00741CB2">
        <w:rPr>
          <w:szCs w:val="22"/>
          <w:lang w:val="en-US"/>
        </w:rPr>
        <w:t>, S., Lepik</w:t>
      </w:r>
      <w:r w:rsidR="00741CB2">
        <w:rPr>
          <w:szCs w:val="22"/>
          <w:lang w:val="en-US"/>
        </w:rPr>
        <w:t xml:space="preserve"> </w:t>
      </w:r>
      <w:r w:rsidR="00741CB2" w:rsidRPr="00741CB2">
        <w:rPr>
          <w:szCs w:val="22"/>
          <w:lang w:val="en-US"/>
        </w:rPr>
        <w:t xml:space="preserve">&amp; </w:t>
      </w:r>
      <w:proofErr w:type="spellStart"/>
      <w:r w:rsidR="00741CB2" w:rsidRPr="00741CB2">
        <w:rPr>
          <w:szCs w:val="22"/>
          <w:lang w:val="en-US"/>
        </w:rPr>
        <w:t>Denkovski</w:t>
      </w:r>
      <w:proofErr w:type="spellEnd"/>
      <w:r w:rsidR="00741CB2">
        <w:rPr>
          <w:szCs w:val="22"/>
          <w:lang w:val="en-US"/>
        </w:rPr>
        <w:t>, 2023</w:t>
      </w:r>
      <w:r w:rsidRPr="00591BD8">
        <w:rPr>
          <w:szCs w:val="22"/>
        </w:rPr>
        <w:t>). The main challenge in mathematics learning is that abstract concepts are relevant and interesting for students (</w:t>
      </w:r>
      <w:r w:rsidR="00F81FA6" w:rsidRPr="00591BD8">
        <w:rPr>
          <w:szCs w:val="22"/>
        </w:rPr>
        <w:t>Zappone et al., 2019</w:t>
      </w:r>
      <w:r w:rsidR="00F81FA6">
        <w:rPr>
          <w:szCs w:val="22"/>
        </w:rPr>
        <w:t xml:space="preserve">; </w:t>
      </w:r>
      <w:r w:rsidRPr="00591BD8">
        <w:rPr>
          <w:szCs w:val="22"/>
        </w:rPr>
        <w:t xml:space="preserve">Christidamayani &amp; Kristanto, 2020; Nuryadi et al., 2020; </w:t>
      </w:r>
      <w:proofErr w:type="spellStart"/>
      <w:r w:rsidR="00F81FA6" w:rsidRPr="00F81FA6">
        <w:rPr>
          <w:szCs w:val="22"/>
          <w:lang w:val="en-US"/>
        </w:rPr>
        <w:t>Leekhot</w:t>
      </w:r>
      <w:proofErr w:type="spellEnd"/>
      <w:r w:rsidR="00F81FA6" w:rsidRPr="00F81FA6">
        <w:rPr>
          <w:szCs w:val="22"/>
          <w:lang w:val="en-US"/>
        </w:rPr>
        <w:t xml:space="preserve">, </w:t>
      </w:r>
      <w:proofErr w:type="spellStart"/>
      <w:r w:rsidR="00F81FA6" w:rsidRPr="00F81FA6">
        <w:rPr>
          <w:szCs w:val="22"/>
          <w:lang w:val="en-US"/>
        </w:rPr>
        <w:t>Payougkiattikun</w:t>
      </w:r>
      <w:proofErr w:type="spellEnd"/>
      <w:r w:rsidR="00F81FA6" w:rsidRPr="00F81FA6">
        <w:rPr>
          <w:szCs w:val="22"/>
          <w:lang w:val="en-US"/>
        </w:rPr>
        <w:t>, &amp; Thongsuk</w:t>
      </w:r>
      <w:r w:rsidR="00F81FA6">
        <w:rPr>
          <w:szCs w:val="22"/>
          <w:lang w:val="en-US"/>
        </w:rPr>
        <w:t>, 2024</w:t>
      </w:r>
      <w:r w:rsidRPr="00591BD8">
        <w:rPr>
          <w:szCs w:val="22"/>
        </w:rPr>
        <w:t>). The use of visual aids, educational technology and contextual approaches can help students to see the importance of mathematics in everyday life and in their future careers.</w:t>
      </w:r>
    </w:p>
    <w:p w14:paraId="4B910808" w14:textId="77777777" w:rsidR="00FA39F0" w:rsidRPr="00591BD8" w:rsidRDefault="00FA39F0" w:rsidP="00FA39F0">
      <w:pPr>
        <w:pStyle w:val="E-JournalBody"/>
        <w:ind w:firstLine="709"/>
        <w:rPr>
          <w:szCs w:val="22"/>
        </w:rPr>
      </w:pPr>
      <w:r w:rsidRPr="00591BD8">
        <w:rPr>
          <w:szCs w:val="22"/>
        </w:rPr>
        <w:t xml:space="preserve">  Cognitive psychology is a branch of psychology that studies internal mental processes that include perception, memory, thinking, and problem-solving (Agbi &amp; Yuangsoi, 2022; Mahanani, 2017; Zysberg &amp; Schwabsky, 2021). In an educational context, understanding how the brain processes information is fundamental to design effective teaching strategies (Azizah et al., 2023; Dias et al., 2021; Loudon, 2019). Cognitive psychology helps teachers understand how they learn students, how to retrieve information and how to solve problems. It also includes research on cognitive load, which refers to the mental effort required to process information at the same time (Ahn &amp; Kwon, 2020; Verschaffel et al., 2020). Al comprender estos principios, los profesores pueden diseñar materiales de aprendizaje que optimicen la capacidad cognitiva de los estudiantes, reducquer la confusión y aumenten la retención de información. Por ejemplo, dividir información compleja en partes más pequeñas y proporcionar ejemplos concretos puede ayudar a los estudiantes a procesar y comprender conceptos difíciles.</w:t>
      </w:r>
    </w:p>
    <w:p w14:paraId="15EE0682" w14:textId="77777777" w:rsidR="00FA39F0" w:rsidRPr="00591BD8" w:rsidRDefault="00FA39F0" w:rsidP="00FA39F0">
      <w:pPr>
        <w:pStyle w:val="E-JournalBody"/>
        <w:ind w:firstLine="709"/>
        <w:rPr>
          <w:szCs w:val="22"/>
        </w:rPr>
      </w:pPr>
      <w:r w:rsidRPr="00591BD8">
        <w:rPr>
          <w:szCs w:val="22"/>
        </w:rPr>
        <w:t xml:space="preserve">  The skills of mathematical processes are essential skills that include analysis, reasoning and problem solving in a mathematical context. This capability implies a series of systematic steps that are used to understand and solve mathematical problems (Banks et al., 2018; Li &amp; Dong, 2019; Suryawati &amp; Osman, 2018). Students who master this ability to identify problems, choose appropriate methods to solve them and evaluate their results (Papyrina et al., 2021; Vartiainen &amp; Kumpulainen, 2020). Mathematical process skills in the soil are important for academic success in mathematical subjects, but also for the development of critical and logical thinking skills that can be applied in various situations of life (Kleij, 2019; Sauvé et al., 2018). The development of these skills can be strengthened through regular practice, real problem solving and the use of visual aids that help students visualize abstract concepts. Therefore, mathematical process skills play an important role in the formation of a critical and adaptive analytical mentality.</w:t>
      </w:r>
    </w:p>
    <w:p w14:paraId="696A6779" w14:textId="77777777" w:rsidR="00A55776" w:rsidRPr="00591BD8" w:rsidRDefault="00A55776" w:rsidP="00A55776">
      <w:pPr>
        <w:pStyle w:val="E-JournalBody"/>
        <w:ind w:firstLine="709"/>
        <w:rPr>
          <w:szCs w:val="22"/>
          <w:lang w:val="en-US"/>
        </w:rPr>
      </w:pPr>
      <w:r w:rsidRPr="00591BD8">
        <w:rPr>
          <w:szCs w:val="22"/>
          <w:lang w:val="en-US"/>
        </w:rPr>
        <w:t xml:space="preserve">This study offers a new contribution in the context of the application of KPMPSCHYCO-TECHNOLOGY (Technology-Based Mathematical Process Skills and Cognitive Psychology) which has not been widely applied in the education system in Indonesia, especially at the junior high school level. Most previous major studies (e.g., Daniel, 2016; Souad &amp; </w:t>
      </w:r>
      <w:proofErr w:type="spellStart"/>
      <w:r w:rsidRPr="00591BD8">
        <w:rPr>
          <w:szCs w:val="22"/>
          <w:lang w:val="en-US"/>
        </w:rPr>
        <w:t>Korti</w:t>
      </w:r>
      <w:proofErr w:type="spellEnd"/>
      <w:r w:rsidRPr="00591BD8">
        <w:rPr>
          <w:szCs w:val="22"/>
          <w:lang w:val="en-US"/>
        </w:rPr>
        <w:t xml:space="preserve">, 2018) have shown that the application of cognitive psychology principles can improve the ability to retain and transfer knowledge across disciplines. However, this study focuses on the integration of local wisdom through the traditional game </w:t>
      </w:r>
      <w:proofErr w:type="spellStart"/>
      <w:r w:rsidRPr="00591BD8">
        <w:rPr>
          <w:szCs w:val="22"/>
          <w:lang w:val="en-US"/>
        </w:rPr>
        <w:t>Hadang</w:t>
      </w:r>
      <w:proofErr w:type="spellEnd"/>
      <w:r w:rsidRPr="00591BD8">
        <w:rPr>
          <w:szCs w:val="22"/>
          <w:lang w:val="en-US"/>
        </w:rPr>
        <w:t xml:space="preserve"> from Jambi province in technology-based learning, which has never been widely explored before. By combining technology and local elements, this study aims to not only improve mathematical process skills but also foster cultural awareness in students.</w:t>
      </w:r>
    </w:p>
    <w:p w14:paraId="7FC1A08B" w14:textId="1B74A765" w:rsidR="00BC4D19" w:rsidRPr="00591BD8" w:rsidRDefault="00A55776" w:rsidP="00A55776">
      <w:pPr>
        <w:pStyle w:val="E-JournalBody"/>
        <w:ind w:firstLine="709"/>
        <w:rPr>
          <w:szCs w:val="22"/>
          <w:lang w:val="en-US"/>
        </w:rPr>
      </w:pPr>
      <w:r w:rsidRPr="00591BD8">
        <w:rPr>
          <w:szCs w:val="22"/>
          <w:lang w:val="en-US"/>
        </w:rPr>
        <w:t>This study was conducted in Jambi province, Indonesia, involving junior high school students as the main subjects. The integration of traditional games in technology-based learning designs creates a locally relevant and unique approach, which has never been studied in depth in this area. This provides a rich new context and potential for educational innovation that focuses on developing students' mathematical process skills and cognitive psychology while taking into account local cultural backgrounds</w:t>
      </w:r>
      <w:r w:rsidR="00FA39F0" w:rsidRPr="00591BD8">
        <w:rPr>
          <w:szCs w:val="22"/>
        </w:rPr>
        <w:t>.</w:t>
      </w:r>
    </w:p>
    <w:p w14:paraId="4238F0CD" w14:textId="77777777" w:rsidR="00BC4D19" w:rsidRDefault="00BC4D19" w:rsidP="00BC4D19">
      <w:pPr>
        <w:pStyle w:val="E-JournalBody"/>
        <w:ind w:firstLine="709"/>
        <w:rPr>
          <w:szCs w:val="22"/>
          <w:lang w:val="en-US"/>
        </w:rPr>
      </w:pPr>
    </w:p>
    <w:p w14:paraId="28B31E35" w14:textId="77777777" w:rsidR="008A7E8B" w:rsidRPr="00591BD8" w:rsidRDefault="008A7E8B" w:rsidP="00BC4D19">
      <w:pPr>
        <w:pStyle w:val="E-JournalBody"/>
        <w:ind w:firstLine="709"/>
        <w:rPr>
          <w:szCs w:val="22"/>
          <w:lang w:val="en-US"/>
        </w:rPr>
      </w:pPr>
    </w:p>
    <w:p w14:paraId="0B7731FA" w14:textId="47595A15" w:rsidR="00BC4D19" w:rsidRPr="00591BD8" w:rsidRDefault="00BC4D19" w:rsidP="00FA39F0">
      <w:pPr>
        <w:pStyle w:val="E-JournalHeading1"/>
        <w:rPr>
          <w:color w:val="70AD47" w:themeColor="accent6"/>
        </w:rPr>
      </w:pPr>
      <w:r w:rsidRPr="00591BD8">
        <w:rPr>
          <w:color w:val="70AD47" w:themeColor="accent6"/>
        </w:rPr>
        <w:t>RESEARCH METHOD</w:t>
      </w:r>
    </w:p>
    <w:p w14:paraId="76C4FA71" w14:textId="77777777" w:rsidR="00BC4D19" w:rsidRPr="00591BD8" w:rsidRDefault="00BC4D19" w:rsidP="00BC4D19">
      <w:pPr>
        <w:pStyle w:val="E-JournalHeading2"/>
        <w:rPr>
          <w:b/>
          <w:bCs/>
          <w:i/>
          <w:iCs/>
          <w:color w:val="70AD47" w:themeColor="accent6"/>
        </w:rPr>
      </w:pPr>
      <w:r w:rsidRPr="00591BD8">
        <w:rPr>
          <w:b/>
          <w:bCs/>
          <w:i/>
          <w:iCs/>
          <w:color w:val="70AD47" w:themeColor="accent6"/>
        </w:rPr>
        <w:t>Research Design</w:t>
      </w:r>
    </w:p>
    <w:p w14:paraId="776298AC" w14:textId="740186EB" w:rsidR="00BC4D19" w:rsidRPr="00591BD8" w:rsidRDefault="00FA39F0" w:rsidP="00BC4D19">
      <w:pPr>
        <w:pStyle w:val="E-JournalHeading2"/>
        <w:ind w:firstLine="720"/>
        <w:jc w:val="both"/>
        <w:rPr>
          <w:szCs w:val="24"/>
          <w:lang w:val="id-ID"/>
        </w:rPr>
      </w:pPr>
      <w:r w:rsidRPr="00591BD8">
        <w:t xml:space="preserve">This research applies quantitative methods with a comparative methodological approach. A comparative type of quantitative approach is used to compare the most variables or groups in research (Palermo et al., 2019; </w:t>
      </w:r>
      <w:proofErr w:type="spellStart"/>
      <w:r w:rsidRPr="00591BD8">
        <w:t>Şahintepe</w:t>
      </w:r>
      <w:proofErr w:type="spellEnd"/>
      <w:r w:rsidRPr="00591BD8">
        <w:t xml:space="preserve"> et al., 2020; </w:t>
      </w:r>
      <w:proofErr w:type="spellStart"/>
      <w:r w:rsidRPr="00591BD8">
        <w:t>Wahjusaputri</w:t>
      </w:r>
      <w:proofErr w:type="spellEnd"/>
      <w:r w:rsidRPr="00591BD8">
        <w:t xml:space="preserve"> &amp; Bunyamin, 2022). In the context of this studio, se </w:t>
      </w:r>
      <w:proofErr w:type="spellStart"/>
      <w:r w:rsidRPr="00591BD8">
        <w:t>utiliza</w:t>
      </w:r>
      <w:proofErr w:type="spellEnd"/>
      <w:r w:rsidRPr="00591BD8">
        <w:t xml:space="preserve"> un </w:t>
      </w:r>
      <w:proofErr w:type="spellStart"/>
      <w:r w:rsidRPr="00591BD8">
        <w:t>enfoque</w:t>
      </w:r>
      <w:proofErr w:type="spellEnd"/>
      <w:r w:rsidRPr="00591BD8">
        <w:t xml:space="preserve"> </w:t>
      </w:r>
      <w:proofErr w:type="spellStart"/>
      <w:r w:rsidRPr="00591BD8">
        <w:t>comparativo</w:t>
      </w:r>
      <w:proofErr w:type="spellEnd"/>
      <w:r w:rsidRPr="00591BD8">
        <w:t xml:space="preserve"> para </w:t>
      </w:r>
      <w:proofErr w:type="spellStart"/>
      <w:r w:rsidRPr="00591BD8">
        <w:t>investigar</w:t>
      </w:r>
      <w:proofErr w:type="spellEnd"/>
      <w:r w:rsidRPr="00591BD8">
        <w:t xml:space="preserve"> </w:t>
      </w:r>
      <w:proofErr w:type="spellStart"/>
      <w:r w:rsidRPr="00591BD8">
        <w:t>diferencias</w:t>
      </w:r>
      <w:proofErr w:type="spellEnd"/>
      <w:r w:rsidRPr="00591BD8">
        <w:t xml:space="preserve"> o </w:t>
      </w:r>
      <w:proofErr w:type="spellStart"/>
      <w:r w:rsidRPr="00591BD8">
        <w:t>correlaciones</w:t>
      </w:r>
      <w:proofErr w:type="spellEnd"/>
      <w:r w:rsidRPr="00591BD8">
        <w:t xml:space="preserve"> entre </w:t>
      </w:r>
      <w:proofErr w:type="spellStart"/>
      <w:r w:rsidRPr="00591BD8">
        <w:t>determinadas</w:t>
      </w:r>
      <w:proofErr w:type="spellEnd"/>
      <w:r w:rsidRPr="00591BD8">
        <w:t xml:space="preserve"> variables. Este </w:t>
      </w:r>
      <w:proofErr w:type="spellStart"/>
      <w:r w:rsidRPr="00591BD8">
        <w:t>método</w:t>
      </w:r>
      <w:proofErr w:type="spellEnd"/>
      <w:r w:rsidRPr="00591BD8">
        <w:t xml:space="preserve"> </w:t>
      </w:r>
      <w:proofErr w:type="spellStart"/>
      <w:r w:rsidRPr="00591BD8">
        <w:t>generalmente</w:t>
      </w:r>
      <w:proofErr w:type="spellEnd"/>
      <w:r w:rsidRPr="00591BD8">
        <w:t xml:space="preserve"> </w:t>
      </w:r>
      <w:proofErr w:type="spellStart"/>
      <w:r w:rsidRPr="00591BD8">
        <w:t>implica</w:t>
      </w:r>
      <w:proofErr w:type="spellEnd"/>
      <w:r w:rsidRPr="00591BD8">
        <w:t xml:space="preserve"> </w:t>
      </w:r>
      <w:proofErr w:type="spellStart"/>
      <w:r w:rsidRPr="00591BD8">
        <w:t>recopilar</w:t>
      </w:r>
      <w:proofErr w:type="spellEnd"/>
      <w:r w:rsidRPr="00591BD8">
        <w:t xml:space="preserve"> </w:t>
      </w:r>
      <w:proofErr w:type="spellStart"/>
      <w:r w:rsidRPr="00591BD8">
        <w:t>datos</w:t>
      </w:r>
      <w:proofErr w:type="spellEnd"/>
      <w:r w:rsidRPr="00591BD8">
        <w:t xml:space="preserve"> de base </w:t>
      </w:r>
      <w:proofErr w:type="spellStart"/>
      <w:r w:rsidRPr="00591BD8">
        <w:t>numerérica</w:t>
      </w:r>
      <w:proofErr w:type="spellEnd"/>
      <w:r w:rsidRPr="00591BD8">
        <w:t xml:space="preserve"> y </w:t>
      </w:r>
      <w:proofErr w:type="spellStart"/>
      <w:r w:rsidRPr="00591BD8">
        <w:t>aplicar</w:t>
      </w:r>
      <w:proofErr w:type="spellEnd"/>
      <w:r w:rsidRPr="00591BD8">
        <w:t xml:space="preserve"> </w:t>
      </w:r>
      <w:proofErr w:type="spellStart"/>
      <w:r w:rsidRPr="00591BD8">
        <w:t>análisis</w:t>
      </w:r>
      <w:proofErr w:type="spellEnd"/>
      <w:r w:rsidRPr="00591BD8">
        <w:t xml:space="preserve"> </w:t>
      </w:r>
      <w:proofErr w:type="spellStart"/>
      <w:r w:rsidRPr="00591BD8">
        <w:t>estadístico</w:t>
      </w:r>
      <w:proofErr w:type="spellEnd"/>
      <w:r w:rsidRPr="00591BD8">
        <w:t xml:space="preserve"> para </w:t>
      </w:r>
      <w:proofErr w:type="spellStart"/>
      <w:r w:rsidRPr="00591BD8">
        <w:t>probar</w:t>
      </w:r>
      <w:proofErr w:type="spellEnd"/>
      <w:r w:rsidRPr="00591BD8">
        <w:t xml:space="preserve"> </w:t>
      </w:r>
      <w:proofErr w:type="spellStart"/>
      <w:r w:rsidRPr="00591BD8">
        <w:t>hypotésis</w:t>
      </w:r>
      <w:proofErr w:type="spellEnd"/>
      <w:r w:rsidRPr="00591BD8">
        <w:t xml:space="preserve"> o </w:t>
      </w:r>
      <w:proofErr w:type="spellStart"/>
      <w:r w:rsidRPr="00591BD8">
        <w:t>identificar</w:t>
      </w:r>
      <w:proofErr w:type="spellEnd"/>
      <w:r w:rsidRPr="00591BD8">
        <w:t xml:space="preserve"> </w:t>
      </w:r>
      <w:proofErr w:type="spellStart"/>
      <w:r w:rsidRPr="00591BD8">
        <w:t>posibles</w:t>
      </w:r>
      <w:proofErr w:type="spellEnd"/>
      <w:r w:rsidRPr="00591BD8">
        <w:t xml:space="preserve"> </w:t>
      </w:r>
      <w:proofErr w:type="spellStart"/>
      <w:r w:rsidRPr="00591BD8">
        <w:t>patrones</w:t>
      </w:r>
      <w:proofErr w:type="spellEnd"/>
      <w:r w:rsidRPr="00591BD8">
        <w:t xml:space="preserve"> </w:t>
      </w:r>
      <w:proofErr w:type="spellStart"/>
      <w:r w:rsidRPr="00591BD8">
        <w:t>en</w:t>
      </w:r>
      <w:proofErr w:type="spellEnd"/>
      <w:r w:rsidRPr="00591BD8">
        <w:t xml:space="preserve"> </w:t>
      </w:r>
      <w:proofErr w:type="spellStart"/>
      <w:r w:rsidRPr="00591BD8">
        <w:t>los</w:t>
      </w:r>
      <w:proofErr w:type="spellEnd"/>
      <w:r w:rsidRPr="00591BD8">
        <w:t xml:space="preserve"> </w:t>
      </w:r>
      <w:proofErr w:type="spellStart"/>
      <w:r w:rsidRPr="00591BD8">
        <w:t>datos</w:t>
      </w:r>
      <w:proofErr w:type="spellEnd"/>
      <w:r w:rsidRPr="00591BD8">
        <w:t>.</w:t>
      </w:r>
    </w:p>
    <w:p w14:paraId="28061A7A" w14:textId="77777777" w:rsidR="00BC4D19" w:rsidRPr="00591BD8" w:rsidRDefault="00BC4D19" w:rsidP="00BC4D19">
      <w:pPr>
        <w:pStyle w:val="E-JournalHeading2"/>
        <w:rPr>
          <w:b/>
          <w:bCs/>
          <w:i/>
          <w:iCs/>
          <w:color w:val="70AD47" w:themeColor="accent6"/>
          <w:szCs w:val="24"/>
          <w:lang w:val="id-ID"/>
        </w:rPr>
      </w:pPr>
      <w:r w:rsidRPr="00591BD8">
        <w:rPr>
          <w:b/>
          <w:bCs/>
          <w:i/>
          <w:iCs/>
          <w:color w:val="70AD47" w:themeColor="accent6"/>
          <w:szCs w:val="24"/>
        </w:rPr>
        <w:t>Research Target/Subject</w:t>
      </w:r>
    </w:p>
    <w:p w14:paraId="591964EF" w14:textId="60B1334F" w:rsidR="00FA39F0" w:rsidRPr="00591BD8" w:rsidRDefault="00FA39F0" w:rsidP="00FA39F0">
      <w:pPr>
        <w:pStyle w:val="E-JournalHeading2"/>
        <w:ind w:firstLine="720"/>
        <w:jc w:val="both"/>
        <w:rPr>
          <w:szCs w:val="24"/>
          <w:lang w:val="id-ID"/>
        </w:rPr>
      </w:pPr>
      <w:r w:rsidRPr="00591BD8">
        <w:rPr>
          <w:szCs w:val="24"/>
        </w:rPr>
        <w:t xml:space="preserve">The population of this studio was 120 students from two schools, namely, SMPN 7 </w:t>
      </w:r>
      <w:proofErr w:type="spellStart"/>
      <w:r w:rsidRPr="00591BD8">
        <w:rPr>
          <w:szCs w:val="24"/>
        </w:rPr>
        <w:t>Muaro</w:t>
      </w:r>
      <w:proofErr w:type="spellEnd"/>
      <w:r w:rsidRPr="00591BD8">
        <w:rPr>
          <w:szCs w:val="24"/>
        </w:rPr>
        <w:t xml:space="preserve"> Jambi and SMPS </w:t>
      </w:r>
      <w:proofErr w:type="spellStart"/>
      <w:r w:rsidRPr="00591BD8">
        <w:rPr>
          <w:szCs w:val="24"/>
        </w:rPr>
        <w:t>Elhafidziyah</w:t>
      </w:r>
      <w:proofErr w:type="spellEnd"/>
      <w:r w:rsidRPr="00591BD8">
        <w:rPr>
          <w:szCs w:val="24"/>
        </w:rPr>
        <w:t xml:space="preserve">. La </w:t>
      </w:r>
      <w:proofErr w:type="spellStart"/>
      <w:r w:rsidRPr="00591BD8">
        <w:rPr>
          <w:szCs w:val="24"/>
        </w:rPr>
        <w:t>técnica</w:t>
      </w:r>
      <w:proofErr w:type="spellEnd"/>
      <w:r w:rsidRPr="00591BD8">
        <w:rPr>
          <w:szCs w:val="24"/>
        </w:rPr>
        <w:t xml:space="preserve"> de </w:t>
      </w:r>
      <w:proofErr w:type="spellStart"/>
      <w:r w:rsidRPr="00591BD8">
        <w:rPr>
          <w:szCs w:val="24"/>
        </w:rPr>
        <w:t>muestreo</w:t>
      </w:r>
      <w:proofErr w:type="spellEnd"/>
      <w:r w:rsidRPr="00591BD8">
        <w:rPr>
          <w:szCs w:val="24"/>
        </w:rPr>
        <w:t xml:space="preserve"> es </w:t>
      </w:r>
      <w:proofErr w:type="spellStart"/>
      <w:r w:rsidRPr="00591BD8">
        <w:rPr>
          <w:szCs w:val="24"/>
        </w:rPr>
        <w:t>el</w:t>
      </w:r>
      <w:proofErr w:type="spellEnd"/>
      <w:r w:rsidRPr="00591BD8">
        <w:rPr>
          <w:szCs w:val="24"/>
        </w:rPr>
        <w:t xml:space="preserve"> </w:t>
      </w:r>
      <w:proofErr w:type="spellStart"/>
      <w:r w:rsidRPr="00591BD8">
        <w:rPr>
          <w:szCs w:val="24"/>
        </w:rPr>
        <w:t>muestreo</w:t>
      </w:r>
      <w:proofErr w:type="spellEnd"/>
      <w:r w:rsidRPr="00591BD8">
        <w:rPr>
          <w:szCs w:val="24"/>
        </w:rPr>
        <w:t xml:space="preserve"> </w:t>
      </w:r>
      <w:proofErr w:type="spellStart"/>
      <w:r w:rsidRPr="00591BD8">
        <w:rPr>
          <w:szCs w:val="24"/>
        </w:rPr>
        <w:t>aleatorio</w:t>
      </w:r>
      <w:proofErr w:type="spellEnd"/>
      <w:r w:rsidRPr="00591BD8">
        <w:rPr>
          <w:szCs w:val="24"/>
        </w:rPr>
        <w:t>. The sample for this research came from class VII, totaling 4 classes, with 30 students being the subjects studied. The reason to select research subjects of VII is because the school has realized much learning of mathematics so that the variables of cognitive psychology of students can identify themselves in the learning of mathematics.</w:t>
      </w:r>
    </w:p>
    <w:p w14:paraId="68BF3244" w14:textId="79BBB2B6" w:rsidR="00FA39F0" w:rsidRPr="00591BD8" w:rsidRDefault="00FA39F0" w:rsidP="00FA39F0">
      <w:pPr>
        <w:pStyle w:val="E-JournalHeading2"/>
        <w:rPr>
          <w:b/>
          <w:bCs/>
          <w:i/>
          <w:iCs/>
          <w:color w:val="70AD47" w:themeColor="accent6"/>
        </w:rPr>
      </w:pPr>
      <w:r w:rsidRPr="00591BD8">
        <w:rPr>
          <w:b/>
          <w:bCs/>
          <w:i/>
          <w:iCs/>
          <w:color w:val="70AD47" w:themeColor="accent6"/>
          <w:szCs w:val="24"/>
        </w:rPr>
        <w:t>Instruments, and Data Collection Techniques</w:t>
      </w:r>
    </w:p>
    <w:p w14:paraId="1D885E42" w14:textId="4C00E336" w:rsidR="00FA39F0" w:rsidRPr="00591BD8" w:rsidRDefault="00FA39F0" w:rsidP="00FA39F0">
      <w:pPr>
        <w:pStyle w:val="E-JournalHeading2"/>
        <w:ind w:firstLine="720"/>
        <w:jc w:val="both"/>
        <w:rPr>
          <w:szCs w:val="24"/>
          <w:lang w:val="id-ID"/>
        </w:rPr>
      </w:pPr>
      <w:r w:rsidRPr="00591BD8">
        <w:rPr>
          <w:szCs w:val="24"/>
        </w:rPr>
        <w:t xml:space="preserve">The instruments of this study used cognitive psychology </w:t>
      </w:r>
      <w:proofErr w:type="spellStart"/>
      <w:r w:rsidRPr="00591BD8">
        <w:rPr>
          <w:szCs w:val="24"/>
        </w:rPr>
        <w:t>cuestionarios</w:t>
      </w:r>
      <w:proofErr w:type="spellEnd"/>
      <w:r w:rsidRPr="00591BD8">
        <w:rPr>
          <w:szCs w:val="24"/>
        </w:rPr>
        <w:t xml:space="preserve"> para </w:t>
      </w:r>
      <w:proofErr w:type="spellStart"/>
      <w:r w:rsidRPr="00591BD8">
        <w:rPr>
          <w:szCs w:val="24"/>
        </w:rPr>
        <w:t>estudiantes</w:t>
      </w:r>
      <w:proofErr w:type="spellEnd"/>
      <w:r w:rsidRPr="00591BD8">
        <w:rPr>
          <w:szCs w:val="24"/>
        </w:rPr>
        <w:t xml:space="preserve"> y </w:t>
      </w:r>
      <w:proofErr w:type="spellStart"/>
      <w:r w:rsidRPr="00591BD8">
        <w:rPr>
          <w:szCs w:val="24"/>
        </w:rPr>
        <w:t>cuestionarios</w:t>
      </w:r>
      <w:proofErr w:type="spellEnd"/>
      <w:r w:rsidRPr="00591BD8">
        <w:rPr>
          <w:szCs w:val="24"/>
        </w:rPr>
        <w:t xml:space="preserve"> de </w:t>
      </w:r>
      <w:proofErr w:type="spellStart"/>
      <w:r w:rsidRPr="00591BD8">
        <w:rPr>
          <w:szCs w:val="24"/>
        </w:rPr>
        <w:t>aprendizagem</w:t>
      </w:r>
      <w:proofErr w:type="spellEnd"/>
      <w:r w:rsidRPr="00591BD8">
        <w:rPr>
          <w:szCs w:val="24"/>
        </w:rPr>
        <w:t xml:space="preserve"> de </w:t>
      </w:r>
      <w:proofErr w:type="spellStart"/>
      <w:r w:rsidRPr="00591BD8">
        <w:rPr>
          <w:szCs w:val="24"/>
        </w:rPr>
        <w:t>matemáticas</w:t>
      </w:r>
      <w:proofErr w:type="spellEnd"/>
      <w:r w:rsidRPr="00591BD8">
        <w:rPr>
          <w:szCs w:val="24"/>
        </w:rPr>
        <w:t xml:space="preserve">. Hence, the table used consists of 36 items valid in this instrument using a Likert scale. La </w:t>
      </w:r>
      <w:proofErr w:type="spellStart"/>
      <w:r w:rsidRPr="00591BD8">
        <w:rPr>
          <w:szCs w:val="24"/>
        </w:rPr>
        <w:t>escala</w:t>
      </w:r>
      <w:proofErr w:type="spellEnd"/>
      <w:r w:rsidRPr="00591BD8">
        <w:rPr>
          <w:szCs w:val="24"/>
        </w:rPr>
        <w:t xml:space="preserve"> </w:t>
      </w:r>
      <w:proofErr w:type="spellStart"/>
      <w:r w:rsidRPr="00591BD8">
        <w:rPr>
          <w:szCs w:val="24"/>
        </w:rPr>
        <w:t>consta</w:t>
      </w:r>
      <w:proofErr w:type="spellEnd"/>
      <w:r w:rsidRPr="00591BD8">
        <w:rPr>
          <w:szCs w:val="24"/>
        </w:rPr>
        <w:t xml:space="preserve"> de 4 puntos con un valor de </w:t>
      </w:r>
      <w:proofErr w:type="spellStart"/>
      <w:r w:rsidRPr="00591BD8">
        <w:rPr>
          <w:szCs w:val="24"/>
        </w:rPr>
        <w:t>muy</w:t>
      </w:r>
      <w:proofErr w:type="spellEnd"/>
      <w:r w:rsidRPr="00591BD8">
        <w:rPr>
          <w:szCs w:val="24"/>
        </w:rPr>
        <w:t xml:space="preserve"> bien </w:t>
      </w:r>
      <w:proofErr w:type="spellStart"/>
      <w:r w:rsidRPr="00591BD8">
        <w:rPr>
          <w:szCs w:val="24"/>
        </w:rPr>
        <w:t>siendo</w:t>
      </w:r>
      <w:proofErr w:type="spellEnd"/>
      <w:r w:rsidRPr="00591BD8">
        <w:rPr>
          <w:szCs w:val="24"/>
        </w:rPr>
        <w:t xml:space="preserve"> 4, bien </w:t>
      </w:r>
      <w:proofErr w:type="spellStart"/>
      <w:r w:rsidRPr="00591BD8">
        <w:rPr>
          <w:szCs w:val="24"/>
        </w:rPr>
        <w:t>siendo</w:t>
      </w:r>
      <w:proofErr w:type="spellEnd"/>
      <w:r w:rsidRPr="00591BD8">
        <w:rPr>
          <w:szCs w:val="24"/>
        </w:rPr>
        <w:t xml:space="preserve"> 3, no bien </w:t>
      </w:r>
      <w:proofErr w:type="spellStart"/>
      <w:r w:rsidRPr="00591BD8">
        <w:rPr>
          <w:szCs w:val="24"/>
        </w:rPr>
        <w:t>siendo</w:t>
      </w:r>
      <w:proofErr w:type="spellEnd"/>
      <w:r w:rsidRPr="00591BD8">
        <w:rPr>
          <w:szCs w:val="24"/>
        </w:rPr>
        <w:t xml:space="preserve"> 2, </w:t>
      </w:r>
      <w:proofErr w:type="spellStart"/>
      <w:r w:rsidRPr="00591BD8">
        <w:rPr>
          <w:szCs w:val="24"/>
        </w:rPr>
        <w:t>muy</w:t>
      </w:r>
      <w:proofErr w:type="spellEnd"/>
      <w:r w:rsidRPr="00591BD8">
        <w:rPr>
          <w:szCs w:val="24"/>
        </w:rPr>
        <w:t xml:space="preserve"> mal </w:t>
      </w:r>
      <w:proofErr w:type="spellStart"/>
      <w:r w:rsidRPr="00591BD8">
        <w:rPr>
          <w:szCs w:val="24"/>
        </w:rPr>
        <w:t>siendo</w:t>
      </w:r>
      <w:proofErr w:type="spellEnd"/>
      <w:r w:rsidRPr="00591BD8">
        <w:rPr>
          <w:szCs w:val="24"/>
        </w:rPr>
        <w:t xml:space="preserve"> 1. </w:t>
      </w:r>
      <w:proofErr w:type="spellStart"/>
      <w:r w:rsidRPr="00591BD8">
        <w:rPr>
          <w:szCs w:val="24"/>
        </w:rPr>
        <w:t>Cada</w:t>
      </w:r>
      <w:proofErr w:type="spellEnd"/>
      <w:r w:rsidRPr="00591BD8">
        <w:rPr>
          <w:szCs w:val="24"/>
        </w:rPr>
        <w:t xml:space="preserve"> </w:t>
      </w:r>
      <w:proofErr w:type="spellStart"/>
      <w:r w:rsidRPr="00591BD8">
        <w:rPr>
          <w:szCs w:val="24"/>
        </w:rPr>
        <w:t>afirmación</w:t>
      </w:r>
      <w:proofErr w:type="spellEnd"/>
      <w:r w:rsidRPr="00591BD8">
        <w:rPr>
          <w:szCs w:val="24"/>
        </w:rPr>
        <w:t xml:space="preserve"> es </w:t>
      </w:r>
      <w:proofErr w:type="spellStart"/>
      <w:r w:rsidRPr="00591BD8">
        <w:rPr>
          <w:szCs w:val="24"/>
        </w:rPr>
        <w:t>representativa</w:t>
      </w:r>
      <w:proofErr w:type="spellEnd"/>
      <w:r w:rsidRPr="00591BD8">
        <w:rPr>
          <w:szCs w:val="24"/>
        </w:rPr>
        <w:t xml:space="preserve"> de </w:t>
      </w:r>
      <w:proofErr w:type="spellStart"/>
      <w:r w:rsidRPr="00591BD8">
        <w:rPr>
          <w:szCs w:val="24"/>
        </w:rPr>
        <w:t>cada</w:t>
      </w:r>
      <w:proofErr w:type="spellEnd"/>
      <w:r w:rsidRPr="00591BD8">
        <w:rPr>
          <w:szCs w:val="24"/>
        </w:rPr>
        <w:t xml:space="preserve"> </w:t>
      </w:r>
      <w:proofErr w:type="spellStart"/>
      <w:r w:rsidRPr="00591BD8">
        <w:rPr>
          <w:szCs w:val="24"/>
        </w:rPr>
        <w:t>indicador</w:t>
      </w:r>
      <w:proofErr w:type="spellEnd"/>
      <w:r w:rsidRPr="00591BD8">
        <w:rPr>
          <w:szCs w:val="24"/>
        </w:rPr>
        <w:t xml:space="preserve"> de </w:t>
      </w:r>
      <w:proofErr w:type="spellStart"/>
      <w:r w:rsidRPr="00591BD8">
        <w:rPr>
          <w:szCs w:val="24"/>
        </w:rPr>
        <w:t>caracter</w:t>
      </w:r>
      <w:proofErr w:type="spellEnd"/>
      <w:r w:rsidRPr="00591BD8">
        <w:rPr>
          <w:szCs w:val="24"/>
        </w:rPr>
        <w:t xml:space="preserve"> </w:t>
      </w:r>
      <w:proofErr w:type="spellStart"/>
      <w:r w:rsidRPr="00591BD8">
        <w:rPr>
          <w:szCs w:val="24"/>
        </w:rPr>
        <w:t>independiente</w:t>
      </w:r>
      <w:proofErr w:type="spellEnd"/>
      <w:r w:rsidRPr="00591BD8">
        <w:rPr>
          <w:szCs w:val="24"/>
        </w:rPr>
        <w:t xml:space="preserve"> y </w:t>
      </w:r>
      <w:proofErr w:type="spellStart"/>
      <w:r w:rsidRPr="00591BD8">
        <w:rPr>
          <w:szCs w:val="24"/>
        </w:rPr>
        <w:t>comprensión</w:t>
      </w:r>
      <w:proofErr w:type="spellEnd"/>
      <w:r w:rsidRPr="00591BD8">
        <w:rPr>
          <w:szCs w:val="24"/>
        </w:rPr>
        <w:t xml:space="preserve"> de </w:t>
      </w:r>
      <w:proofErr w:type="spellStart"/>
      <w:r w:rsidRPr="00591BD8">
        <w:rPr>
          <w:szCs w:val="24"/>
        </w:rPr>
        <w:t>conceptos</w:t>
      </w:r>
      <w:proofErr w:type="spellEnd"/>
      <w:r w:rsidRPr="00591BD8">
        <w:rPr>
          <w:szCs w:val="24"/>
        </w:rPr>
        <w:t>. The focus of this investigation is in 36 indicators.</w:t>
      </w:r>
    </w:p>
    <w:p w14:paraId="0D32851A" w14:textId="1394D0C9" w:rsidR="00BC4D19" w:rsidRPr="00591BD8" w:rsidRDefault="00FA39F0" w:rsidP="00FA39F0">
      <w:pPr>
        <w:pStyle w:val="E-JournalHeading2"/>
        <w:ind w:firstLine="720"/>
        <w:jc w:val="both"/>
        <w:rPr>
          <w:sz w:val="20"/>
          <w:szCs w:val="20"/>
          <w:lang w:val="id-ID"/>
        </w:rPr>
      </w:pPr>
      <w:r w:rsidRPr="00591BD8">
        <w:rPr>
          <w:sz w:val="20"/>
          <w:szCs w:val="20"/>
        </w:rPr>
        <w:t xml:space="preserve">Table 1. </w:t>
      </w:r>
      <w:proofErr w:type="spellStart"/>
      <w:r w:rsidRPr="00591BD8">
        <w:rPr>
          <w:sz w:val="20"/>
          <w:szCs w:val="20"/>
        </w:rPr>
        <w:t>Cuadrícula</w:t>
      </w:r>
      <w:proofErr w:type="spellEnd"/>
      <w:r w:rsidRPr="00591BD8">
        <w:rPr>
          <w:sz w:val="20"/>
          <w:szCs w:val="20"/>
        </w:rPr>
        <w:t xml:space="preserve"> de </w:t>
      </w:r>
      <w:proofErr w:type="spellStart"/>
      <w:r w:rsidRPr="00591BD8">
        <w:rPr>
          <w:sz w:val="20"/>
          <w:szCs w:val="20"/>
        </w:rPr>
        <w:t>instrumentos</w:t>
      </w:r>
      <w:proofErr w:type="spellEnd"/>
      <w:r w:rsidRPr="00591BD8">
        <w:rPr>
          <w:sz w:val="20"/>
          <w:szCs w:val="20"/>
        </w:rPr>
        <w:t xml:space="preserve"> de </w:t>
      </w:r>
      <w:proofErr w:type="spellStart"/>
      <w:r w:rsidRPr="00591BD8">
        <w:rPr>
          <w:sz w:val="20"/>
          <w:szCs w:val="20"/>
        </w:rPr>
        <w:t>psicología</w:t>
      </w:r>
      <w:proofErr w:type="spellEnd"/>
      <w:r w:rsidRPr="00591BD8">
        <w:rPr>
          <w:sz w:val="20"/>
          <w:szCs w:val="20"/>
        </w:rPr>
        <w:t xml:space="preserve"> </w:t>
      </w:r>
      <w:proofErr w:type="spellStart"/>
      <w:r w:rsidRPr="00591BD8">
        <w:rPr>
          <w:sz w:val="20"/>
          <w:szCs w:val="20"/>
        </w:rPr>
        <w:t>cognitiva</w:t>
      </w:r>
      <w:proofErr w:type="spellEnd"/>
      <w:r w:rsidRPr="00591BD8">
        <w:rPr>
          <w:sz w:val="20"/>
          <w:szCs w:val="20"/>
        </w:rPr>
        <w:t xml:space="preserve"> </w:t>
      </w:r>
      <w:proofErr w:type="spellStart"/>
      <w:r w:rsidRPr="00591BD8">
        <w:rPr>
          <w:sz w:val="20"/>
          <w:szCs w:val="20"/>
        </w:rPr>
        <w:t>estudiantil</w:t>
      </w:r>
      <w:proofErr w:type="spellEnd"/>
      <w:r w:rsidRPr="00591BD8">
        <w:rPr>
          <w:sz w:val="20"/>
          <w:szCs w:val="20"/>
        </w:rPr>
        <w:t>.</w:t>
      </w:r>
    </w:p>
    <w:tbl>
      <w:tblPr>
        <w:tblW w:w="5000" w:type="pct"/>
        <w:jc w:val="center"/>
        <w:tblBorders>
          <w:top w:val="single" w:sz="4" w:space="0" w:color="auto"/>
          <w:bottom w:val="single" w:sz="4" w:space="0" w:color="auto"/>
        </w:tblBorders>
        <w:tblLook w:val="04A0" w:firstRow="1" w:lastRow="0" w:firstColumn="1" w:lastColumn="0" w:noHBand="0" w:noVBand="1"/>
      </w:tblPr>
      <w:tblGrid>
        <w:gridCol w:w="2082"/>
        <w:gridCol w:w="5502"/>
        <w:gridCol w:w="1613"/>
      </w:tblGrid>
      <w:tr w:rsidR="00FA39F0" w:rsidRPr="00591BD8" w14:paraId="0E3847BF" w14:textId="77777777" w:rsidTr="000475D4">
        <w:trPr>
          <w:trHeight w:val="20"/>
          <w:jc w:val="center"/>
        </w:trPr>
        <w:tc>
          <w:tcPr>
            <w:tcW w:w="1132" w:type="pct"/>
            <w:tcBorders>
              <w:top w:val="single" w:sz="4" w:space="0" w:color="auto"/>
              <w:bottom w:val="single" w:sz="4" w:space="0" w:color="auto"/>
            </w:tcBorders>
          </w:tcPr>
          <w:p w14:paraId="51B0A7B0" w14:textId="77777777" w:rsidR="00FA39F0" w:rsidRPr="00591BD8" w:rsidRDefault="00FA39F0" w:rsidP="00FA39F0">
            <w:pPr>
              <w:spacing w:after="100" w:afterAutospacing="1"/>
              <w:jc w:val="both"/>
              <w:rPr>
                <w:rFonts w:ascii="Times New Roman" w:hAnsi="Times New Roman"/>
                <w:sz w:val="20"/>
                <w:szCs w:val="20"/>
                <w:lang w:val="en-ID"/>
              </w:rPr>
            </w:pPr>
            <w:r w:rsidRPr="00591BD8">
              <w:rPr>
                <w:rFonts w:ascii="Times New Roman" w:hAnsi="Times New Roman"/>
                <w:sz w:val="20"/>
                <w:szCs w:val="20"/>
              </w:rPr>
              <w:t>Variables</w:t>
            </w:r>
          </w:p>
        </w:tc>
        <w:tc>
          <w:tcPr>
            <w:tcW w:w="2991" w:type="pct"/>
            <w:tcBorders>
              <w:top w:val="single" w:sz="4" w:space="0" w:color="auto"/>
              <w:bottom w:val="single" w:sz="4" w:space="0" w:color="auto"/>
            </w:tcBorders>
          </w:tcPr>
          <w:p w14:paraId="011DFF15" w14:textId="77777777" w:rsidR="00FA39F0" w:rsidRPr="00591BD8" w:rsidRDefault="00FA39F0" w:rsidP="00FA39F0">
            <w:pPr>
              <w:spacing w:after="100" w:afterAutospacing="1"/>
              <w:jc w:val="both"/>
              <w:rPr>
                <w:rFonts w:ascii="Times New Roman" w:hAnsi="Times New Roman"/>
                <w:sz w:val="20"/>
                <w:szCs w:val="20"/>
                <w:lang w:val="en-ID"/>
              </w:rPr>
            </w:pPr>
            <w:r w:rsidRPr="00591BD8">
              <w:rPr>
                <w:rFonts w:ascii="Times New Roman" w:hAnsi="Times New Roman"/>
                <w:sz w:val="20"/>
                <w:szCs w:val="20"/>
              </w:rPr>
              <w:t>Indicators</w:t>
            </w:r>
          </w:p>
        </w:tc>
        <w:tc>
          <w:tcPr>
            <w:tcW w:w="877" w:type="pct"/>
            <w:tcBorders>
              <w:top w:val="single" w:sz="4" w:space="0" w:color="auto"/>
              <w:bottom w:val="single" w:sz="4" w:space="0" w:color="auto"/>
            </w:tcBorders>
          </w:tcPr>
          <w:p w14:paraId="76CF6A92" w14:textId="77777777" w:rsidR="00FA39F0" w:rsidRPr="00591BD8" w:rsidRDefault="00FA39F0" w:rsidP="00FA39F0">
            <w:pPr>
              <w:spacing w:after="100" w:afterAutospacing="1"/>
              <w:jc w:val="both"/>
              <w:rPr>
                <w:rFonts w:ascii="Times New Roman" w:hAnsi="Times New Roman"/>
                <w:sz w:val="20"/>
                <w:szCs w:val="20"/>
                <w:lang w:val="en-ID"/>
              </w:rPr>
            </w:pPr>
            <w:r w:rsidRPr="00591BD8">
              <w:rPr>
                <w:rFonts w:ascii="Times New Roman" w:hAnsi="Times New Roman"/>
                <w:sz w:val="20"/>
                <w:szCs w:val="20"/>
              </w:rPr>
              <w:t>Total Items</w:t>
            </w:r>
          </w:p>
        </w:tc>
      </w:tr>
      <w:tr w:rsidR="00FA39F0" w:rsidRPr="00591BD8" w14:paraId="3E5EC51F" w14:textId="77777777" w:rsidTr="000475D4">
        <w:trPr>
          <w:trHeight w:val="20"/>
          <w:jc w:val="center"/>
        </w:trPr>
        <w:tc>
          <w:tcPr>
            <w:tcW w:w="1132" w:type="pct"/>
            <w:vMerge w:val="restart"/>
            <w:tcBorders>
              <w:top w:val="single" w:sz="4" w:space="0" w:color="auto"/>
            </w:tcBorders>
          </w:tcPr>
          <w:p w14:paraId="20252E33" w14:textId="77777777" w:rsidR="00FA39F0" w:rsidRPr="00591BD8" w:rsidRDefault="00FA39F0" w:rsidP="00FA39F0">
            <w:pPr>
              <w:spacing w:after="100" w:afterAutospacing="1"/>
              <w:jc w:val="both"/>
              <w:rPr>
                <w:rFonts w:ascii="Times New Roman" w:hAnsi="Times New Roman"/>
                <w:sz w:val="20"/>
                <w:szCs w:val="20"/>
                <w:lang w:val="en-ID"/>
              </w:rPr>
            </w:pPr>
            <w:r w:rsidRPr="00591BD8">
              <w:rPr>
                <w:rFonts w:ascii="Times New Roman" w:hAnsi="Times New Roman"/>
                <w:sz w:val="20"/>
                <w:szCs w:val="20"/>
              </w:rPr>
              <w:t>Cognitive Psychology</w:t>
            </w:r>
          </w:p>
        </w:tc>
        <w:tc>
          <w:tcPr>
            <w:tcW w:w="2991" w:type="pct"/>
            <w:tcBorders>
              <w:top w:val="single" w:sz="4" w:space="0" w:color="auto"/>
            </w:tcBorders>
          </w:tcPr>
          <w:p w14:paraId="4D6A1CC3"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Attention</w:t>
            </w:r>
          </w:p>
        </w:tc>
        <w:tc>
          <w:tcPr>
            <w:tcW w:w="877" w:type="pct"/>
            <w:tcBorders>
              <w:top w:val="single" w:sz="4" w:space="0" w:color="auto"/>
            </w:tcBorders>
          </w:tcPr>
          <w:p w14:paraId="7ADE548E"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1,2,3 ,4,5</w:t>
            </w:r>
          </w:p>
        </w:tc>
      </w:tr>
      <w:tr w:rsidR="00FA39F0" w:rsidRPr="00591BD8" w14:paraId="36A4B541" w14:textId="77777777" w:rsidTr="000475D4">
        <w:trPr>
          <w:trHeight w:val="20"/>
          <w:jc w:val="center"/>
        </w:trPr>
        <w:tc>
          <w:tcPr>
            <w:tcW w:w="1132" w:type="pct"/>
            <w:vMerge/>
          </w:tcPr>
          <w:p w14:paraId="54BD01B7" w14:textId="77777777" w:rsidR="00FA39F0" w:rsidRPr="00591BD8" w:rsidRDefault="00FA39F0" w:rsidP="00FA39F0">
            <w:pPr>
              <w:spacing w:after="100" w:afterAutospacing="1"/>
              <w:jc w:val="both"/>
              <w:rPr>
                <w:rFonts w:ascii="Times New Roman" w:hAnsi="Times New Roman"/>
                <w:sz w:val="20"/>
                <w:szCs w:val="20"/>
                <w:lang w:val="en-ID"/>
              </w:rPr>
            </w:pPr>
          </w:p>
        </w:tc>
        <w:tc>
          <w:tcPr>
            <w:tcW w:w="2991" w:type="pct"/>
          </w:tcPr>
          <w:p w14:paraId="71F79FF2"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Memory</w:t>
            </w:r>
          </w:p>
        </w:tc>
        <w:tc>
          <w:tcPr>
            <w:tcW w:w="877" w:type="pct"/>
          </w:tcPr>
          <w:p w14:paraId="43BFF848"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6,7,8,9,10</w:t>
            </w:r>
          </w:p>
        </w:tc>
      </w:tr>
      <w:tr w:rsidR="00FA39F0" w:rsidRPr="00591BD8" w14:paraId="1749ABAD" w14:textId="77777777" w:rsidTr="000475D4">
        <w:trPr>
          <w:trHeight w:val="20"/>
          <w:jc w:val="center"/>
        </w:trPr>
        <w:tc>
          <w:tcPr>
            <w:tcW w:w="1132" w:type="pct"/>
            <w:vMerge/>
          </w:tcPr>
          <w:p w14:paraId="67CA42F2" w14:textId="77777777" w:rsidR="00FA39F0" w:rsidRPr="00591BD8" w:rsidRDefault="00FA39F0" w:rsidP="00FA39F0">
            <w:pPr>
              <w:spacing w:after="100" w:afterAutospacing="1"/>
              <w:jc w:val="both"/>
              <w:rPr>
                <w:rFonts w:ascii="Times New Roman" w:hAnsi="Times New Roman"/>
                <w:sz w:val="20"/>
                <w:szCs w:val="20"/>
                <w:lang w:val="en-ID"/>
              </w:rPr>
            </w:pPr>
          </w:p>
        </w:tc>
        <w:tc>
          <w:tcPr>
            <w:tcW w:w="2991" w:type="pct"/>
          </w:tcPr>
          <w:p w14:paraId="557730EE"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Problem Solving</w:t>
            </w:r>
          </w:p>
        </w:tc>
        <w:tc>
          <w:tcPr>
            <w:tcW w:w="877" w:type="pct"/>
          </w:tcPr>
          <w:p w14:paraId="589CED55"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11,12,13,14</w:t>
            </w:r>
          </w:p>
        </w:tc>
      </w:tr>
      <w:tr w:rsidR="00FA39F0" w:rsidRPr="00591BD8" w14:paraId="76426C60" w14:textId="77777777" w:rsidTr="000475D4">
        <w:trPr>
          <w:trHeight w:val="80"/>
          <w:jc w:val="center"/>
        </w:trPr>
        <w:tc>
          <w:tcPr>
            <w:tcW w:w="1132" w:type="pct"/>
            <w:vMerge/>
          </w:tcPr>
          <w:p w14:paraId="004BBE81" w14:textId="77777777" w:rsidR="00FA39F0" w:rsidRPr="00591BD8" w:rsidRDefault="00FA39F0" w:rsidP="00FA39F0">
            <w:pPr>
              <w:spacing w:after="100" w:afterAutospacing="1"/>
              <w:jc w:val="both"/>
              <w:rPr>
                <w:rFonts w:ascii="Times New Roman" w:hAnsi="Times New Roman"/>
                <w:sz w:val="20"/>
                <w:szCs w:val="20"/>
                <w:lang w:val="en-ID"/>
              </w:rPr>
            </w:pPr>
          </w:p>
        </w:tc>
        <w:tc>
          <w:tcPr>
            <w:tcW w:w="2991" w:type="pct"/>
          </w:tcPr>
          <w:p w14:paraId="74D8063E"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Critical Thinking</w:t>
            </w:r>
          </w:p>
        </w:tc>
        <w:tc>
          <w:tcPr>
            <w:tcW w:w="877" w:type="pct"/>
          </w:tcPr>
          <w:p w14:paraId="1E747F40"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15,16,17,18,19</w:t>
            </w:r>
          </w:p>
        </w:tc>
      </w:tr>
      <w:tr w:rsidR="00FA39F0" w:rsidRPr="00591BD8" w14:paraId="73A974DA" w14:textId="77777777" w:rsidTr="000475D4">
        <w:trPr>
          <w:trHeight w:val="80"/>
          <w:jc w:val="center"/>
        </w:trPr>
        <w:tc>
          <w:tcPr>
            <w:tcW w:w="1132" w:type="pct"/>
            <w:vMerge/>
          </w:tcPr>
          <w:p w14:paraId="6D448C91" w14:textId="77777777" w:rsidR="00FA39F0" w:rsidRPr="00591BD8" w:rsidRDefault="00FA39F0" w:rsidP="00FA39F0">
            <w:pPr>
              <w:spacing w:after="100" w:afterAutospacing="1"/>
              <w:jc w:val="both"/>
              <w:rPr>
                <w:rFonts w:ascii="Times New Roman" w:hAnsi="Times New Roman"/>
                <w:sz w:val="20"/>
                <w:szCs w:val="20"/>
                <w:lang w:val="en-ID"/>
              </w:rPr>
            </w:pPr>
          </w:p>
        </w:tc>
        <w:tc>
          <w:tcPr>
            <w:tcW w:w="2991" w:type="pct"/>
          </w:tcPr>
          <w:p w14:paraId="79D193E1"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Decision Making</w:t>
            </w:r>
          </w:p>
        </w:tc>
        <w:tc>
          <w:tcPr>
            <w:tcW w:w="877" w:type="pct"/>
          </w:tcPr>
          <w:p w14:paraId="78230CA8"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20,21,22,23,24</w:t>
            </w:r>
          </w:p>
        </w:tc>
      </w:tr>
      <w:tr w:rsidR="00FA39F0" w:rsidRPr="00591BD8" w14:paraId="10226269" w14:textId="77777777" w:rsidTr="000475D4">
        <w:trPr>
          <w:trHeight w:val="20"/>
          <w:jc w:val="center"/>
        </w:trPr>
        <w:tc>
          <w:tcPr>
            <w:tcW w:w="1132" w:type="pct"/>
            <w:vMerge/>
          </w:tcPr>
          <w:p w14:paraId="46F4B7B8" w14:textId="77777777" w:rsidR="00FA39F0" w:rsidRPr="00591BD8" w:rsidRDefault="00FA39F0" w:rsidP="00FA39F0">
            <w:pPr>
              <w:spacing w:after="100" w:afterAutospacing="1"/>
              <w:jc w:val="both"/>
              <w:rPr>
                <w:rFonts w:ascii="Times New Roman" w:hAnsi="Times New Roman"/>
                <w:sz w:val="20"/>
                <w:szCs w:val="20"/>
                <w:lang w:val="en-ID"/>
              </w:rPr>
            </w:pPr>
          </w:p>
        </w:tc>
        <w:tc>
          <w:tcPr>
            <w:tcW w:w="2991" w:type="pct"/>
          </w:tcPr>
          <w:p w14:paraId="3538F6AB"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Information Processing</w:t>
            </w:r>
          </w:p>
        </w:tc>
        <w:tc>
          <w:tcPr>
            <w:tcW w:w="877" w:type="pct"/>
          </w:tcPr>
          <w:p w14:paraId="655BDC61"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25,26,27,28,29</w:t>
            </w:r>
          </w:p>
        </w:tc>
      </w:tr>
      <w:tr w:rsidR="00FA39F0" w:rsidRPr="00591BD8" w14:paraId="14C0F73B" w14:textId="77777777" w:rsidTr="000475D4">
        <w:trPr>
          <w:trHeight w:val="20"/>
          <w:jc w:val="center"/>
        </w:trPr>
        <w:tc>
          <w:tcPr>
            <w:tcW w:w="1132" w:type="pct"/>
            <w:vMerge/>
          </w:tcPr>
          <w:p w14:paraId="12262293" w14:textId="77777777" w:rsidR="00FA39F0" w:rsidRPr="00591BD8" w:rsidRDefault="00FA39F0" w:rsidP="00FA39F0">
            <w:pPr>
              <w:spacing w:after="100" w:afterAutospacing="1"/>
              <w:jc w:val="both"/>
              <w:rPr>
                <w:rFonts w:ascii="Times New Roman" w:hAnsi="Times New Roman"/>
                <w:sz w:val="20"/>
                <w:szCs w:val="20"/>
                <w:lang w:val="en-ID"/>
              </w:rPr>
            </w:pPr>
          </w:p>
        </w:tc>
        <w:tc>
          <w:tcPr>
            <w:tcW w:w="2991" w:type="pct"/>
          </w:tcPr>
          <w:p w14:paraId="5C091F5E"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Metacognition</w:t>
            </w:r>
          </w:p>
        </w:tc>
        <w:tc>
          <w:tcPr>
            <w:tcW w:w="877" w:type="pct"/>
          </w:tcPr>
          <w:p w14:paraId="65053B4D"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30,31,32,33</w:t>
            </w:r>
          </w:p>
        </w:tc>
      </w:tr>
      <w:tr w:rsidR="00FA39F0" w:rsidRPr="00591BD8" w14:paraId="7DEAF7D7" w14:textId="77777777" w:rsidTr="000475D4">
        <w:trPr>
          <w:trHeight w:val="20"/>
          <w:jc w:val="center"/>
        </w:trPr>
        <w:tc>
          <w:tcPr>
            <w:tcW w:w="1132" w:type="pct"/>
            <w:vMerge/>
          </w:tcPr>
          <w:p w14:paraId="49D94862" w14:textId="77777777" w:rsidR="00FA39F0" w:rsidRPr="00591BD8" w:rsidRDefault="00FA39F0" w:rsidP="00FA39F0">
            <w:pPr>
              <w:spacing w:after="100" w:afterAutospacing="1"/>
              <w:jc w:val="both"/>
              <w:rPr>
                <w:rFonts w:ascii="Times New Roman" w:hAnsi="Times New Roman"/>
                <w:sz w:val="20"/>
                <w:szCs w:val="20"/>
                <w:lang w:val="en-ID"/>
              </w:rPr>
            </w:pPr>
          </w:p>
        </w:tc>
        <w:tc>
          <w:tcPr>
            <w:tcW w:w="2991" w:type="pct"/>
          </w:tcPr>
          <w:p w14:paraId="2FBAA90D"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Creativity</w:t>
            </w:r>
          </w:p>
        </w:tc>
        <w:tc>
          <w:tcPr>
            <w:tcW w:w="877" w:type="pct"/>
          </w:tcPr>
          <w:p w14:paraId="26F41C35"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34,35,36</w:t>
            </w:r>
          </w:p>
        </w:tc>
      </w:tr>
      <w:tr w:rsidR="00FA39F0" w:rsidRPr="00591BD8" w14:paraId="4691F119" w14:textId="77777777" w:rsidTr="000475D4">
        <w:trPr>
          <w:trHeight w:val="20"/>
          <w:jc w:val="center"/>
        </w:trPr>
        <w:tc>
          <w:tcPr>
            <w:tcW w:w="4123" w:type="pct"/>
            <w:gridSpan w:val="2"/>
            <w:vAlign w:val="center"/>
          </w:tcPr>
          <w:p w14:paraId="3A32E419" w14:textId="77777777" w:rsidR="00FA39F0" w:rsidRPr="00591BD8" w:rsidRDefault="00FA39F0" w:rsidP="00FA39F0">
            <w:pPr>
              <w:spacing w:after="100" w:afterAutospacing="1"/>
              <w:jc w:val="center"/>
              <w:rPr>
                <w:rFonts w:ascii="Times New Roman" w:hAnsi="Times New Roman"/>
                <w:sz w:val="20"/>
                <w:szCs w:val="20"/>
              </w:rPr>
            </w:pPr>
            <w:r w:rsidRPr="00591BD8">
              <w:rPr>
                <w:rFonts w:ascii="Times New Roman" w:hAnsi="Times New Roman"/>
                <w:sz w:val="20"/>
                <w:szCs w:val="20"/>
              </w:rPr>
              <w:t>Total</w:t>
            </w:r>
          </w:p>
        </w:tc>
        <w:tc>
          <w:tcPr>
            <w:tcW w:w="877" w:type="pct"/>
          </w:tcPr>
          <w:p w14:paraId="4D6569A0"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36</w:t>
            </w:r>
          </w:p>
        </w:tc>
      </w:tr>
    </w:tbl>
    <w:p w14:paraId="2B8736E6" w14:textId="77777777" w:rsidR="00FA39F0" w:rsidRPr="00591BD8" w:rsidRDefault="00FA39F0" w:rsidP="00FA39F0">
      <w:pPr>
        <w:pStyle w:val="E-JournalHeading2"/>
        <w:ind w:firstLine="720"/>
        <w:jc w:val="both"/>
        <w:rPr>
          <w:lang w:val="id-ID"/>
        </w:rPr>
      </w:pPr>
      <w:r w:rsidRPr="00591BD8">
        <w:t xml:space="preserve">Esta </w:t>
      </w:r>
      <w:proofErr w:type="spellStart"/>
      <w:r w:rsidRPr="00591BD8">
        <w:t>investigación</w:t>
      </w:r>
      <w:proofErr w:type="spellEnd"/>
      <w:r w:rsidRPr="00591BD8">
        <w:t xml:space="preserve"> </w:t>
      </w:r>
      <w:proofErr w:type="spellStart"/>
      <w:r w:rsidRPr="00591BD8">
        <w:t>utiliza</w:t>
      </w:r>
      <w:proofErr w:type="spellEnd"/>
      <w:r w:rsidRPr="00591BD8">
        <w:t xml:space="preserve"> </w:t>
      </w:r>
      <w:proofErr w:type="spellStart"/>
      <w:r w:rsidRPr="00591BD8">
        <w:t>una</w:t>
      </w:r>
      <w:proofErr w:type="spellEnd"/>
      <w:r w:rsidRPr="00591BD8">
        <w:t xml:space="preserve"> </w:t>
      </w:r>
      <w:proofErr w:type="spellStart"/>
      <w:r w:rsidRPr="00591BD8">
        <w:t>escala</w:t>
      </w:r>
      <w:proofErr w:type="spellEnd"/>
      <w:r w:rsidRPr="00591BD8">
        <w:t xml:space="preserve"> Likert que </w:t>
      </w:r>
      <w:proofErr w:type="spellStart"/>
      <w:r w:rsidRPr="00591BD8">
        <w:t>consta</w:t>
      </w:r>
      <w:proofErr w:type="spellEnd"/>
      <w:r w:rsidRPr="00591BD8">
        <w:t xml:space="preserve"> de 4 </w:t>
      </w:r>
      <w:proofErr w:type="spellStart"/>
      <w:r w:rsidRPr="00591BD8">
        <w:t>categorías</w:t>
      </w:r>
      <w:proofErr w:type="spellEnd"/>
      <w:r w:rsidRPr="00591BD8">
        <w:t xml:space="preserve">, </w:t>
      </w:r>
      <w:proofErr w:type="spellStart"/>
      <w:r w:rsidRPr="00591BD8">
        <w:t>por</w:t>
      </w:r>
      <w:proofErr w:type="spellEnd"/>
      <w:r w:rsidRPr="00591BD8">
        <w:t xml:space="preserve"> lo que hay intervals </w:t>
      </w:r>
      <w:proofErr w:type="spellStart"/>
      <w:r w:rsidRPr="00591BD8">
        <w:t>en</w:t>
      </w:r>
      <w:proofErr w:type="spellEnd"/>
      <w:r w:rsidRPr="00591BD8">
        <w:t xml:space="preserve"> </w:t>
      </w:r>
      <w:proofErr w:type="spellStart"/>
      <w:r w:rsidRPr="00591BD8">
        <w:t>cada</w:t>
      </w:r>
      <w:proofErr w:type="spellEnd"/>
      <w:r w:rsidRPr="00591BD8">
        <w:t xml:space="preserve"> </w:t>
      </w:r>
      <w:proofErr w:type="spellStart"/>
      <w:r w:rsidRPr="00591BD8">
        <w:t>categoría</w:t>
      </w:r>
      <w:proofErr w:type="spellEnd"/>
      <w:r w:rsidRPr="00591BD8">
        <w:t xml:space="preserve">, y </w:t>
      </w:r>
      <w:proofErr w:type="spellStart"/>
      <w:r w:rsidRPr="00591BD8">
        <w:t>los</w:t>
      </w:r>
      <w:proofErr w:type="spellEnd"/>
      <w:r w:rsidRPr="00591BD8">
        <w:t xml:space="preserve"> intervals </w:t>
      </w:r>
      <w:proofErr w:type="spellStart"/>
      <w:r w:rsidRPr="00591BD8">
        <w:t>en</w:t>
      </w:r>
      <w:proofErr w:type="spellEnd"/>
      <w:r w:rsidRPr="00591BD8">
        <w:t xml:space="preserve"> </w:t>
      </w:r>
      <w:proofErr w:type="spellStart"/>
      <w:r w:rsidRPr="00591BD8">
        <w:t>cada</w:t>
      </w:r>
      <w:proofErr w:type="spellEnd"/>
      <w:r w:rsidRPr="00591BD8">
        <w:t xml:space="preserve"> </w:t>
      </w:r>
      <w:proofErr w:type="spellStart"/>
      <w:r w:rsidRPr="00591BD8">
        <w:t>categoría</w:t>
      </w:r>
      <w:proofErr w:type="spellEnd"/>
      <w:r w:rsidRPr="00591BD8">
        <w:t xml:space="preserve"> se </w:t>
      </w:r>
      <w:proofErr w:type="spellStart"/>
      <w:r w:rsidRPr="00591BD8">
        <w:t>pueden</w:t>
      </w:r>
      <w:proofErr w:type="spellEnd"/>
      <w:r w:rsidRPr="00591BD8">
        <w:t xml:space="preserve"> </w:t>
      </w:r>
      <w:proofErr w:type="spellStart"/>
      <w:r w:rsidRPr="00591BD8">
        <w:t>ver</w:t>
      </w:r>
      <w:proofErr w:type="spellEnd"/>
      <w:r w:rsidRPr="00591BD8">
        <w:t xml:space="preserve"> </w:t>
      </w:r>
      <w:proofErr w:type="spellStart"/>
      <w:r w:rsidRPr="00591BD8">
        <w:t>en</w:t>
      </w:r>
      <w:proofErr w:type="spellEnd"/>
      <w:r w:rsidRPr="00591BD8">
        <w:t xml:space="preserve"> la </w:t>
      </w:r>
      <w:proofErr w:type="spellStart"/>
      <w:r w:rsidRPr="00591BD8">
        <w:t>siguiente</w:t>
      </w:r>
      <w:proofErr w:type="spellEnd"/>
      <w:r w:rsidRPr="00591BD8">
        <w:t xml:space="preserve"> </w:t>
      </w:r>
      <w:proofErr w:type="spellStart"/>
      <w:r w:rsidRPr="00591BD8">
        <w:t>tabla</w:t>
      </w:r>
      <w:proofErr w:type="spellEnd"/>
      <w:r w:rsidRPr="00591BD8">
        <w:t xml:space="preserve">. Las </w:t>
      </w:r>
      <w:proofErr w:type="spellStart"/>
      <w:r w:rsidRPr="00591BD8">
        <w:t>categorías</w:t>
      </w:r>
      <w:proofErr w:type="spellEnd"/>
      <w:r w:rsidRPr="00591BD8">
        <w:t xml:space="preserve"> de </w:t>
      </w:r>
      <w:proofErr w:type="spellStart"/>
      <w:r w:rsidRPr="00591BD8">
        <w:t>habilidades</w:t>
      </w:r>
      <w:proofErr w:type="spellEnd"/>
      <w:r w:rsidRPr="00591BD8">
        <w:t xml:space="preserve"> de </w:t>
      </w:r>
      <w:proofErr w:type="spellStart"/>
      <w:r w:rsidRPr="00591BD8">
        <w:t>procesos</w:t>
      </w:r>
      <w:proofErr w:type="spellEnd"/>
      <w:r w:rsidRPr="00591BD8">
        <w:t xml:space="preserve"> </w:t>
      </w:r>
      <w:proofErr w:type="spellStart"/>
      <w:r w:rsidRPr="00591BD8">
        <w:t>matemáticos</w:t>
      </w:r>
      <w:proofErr w:type="spellEnd"/>
      <w:r w:rsidRPr="00591BD8">
        <w:t xml:space="preserve"> para </w:t>
      </w:r>
      <w:proofErr w:type="spellStart"/>
      <w:r w:rsidRPr="00591BD8">
        <w:t>el</w:t>
      </w:r>
      <w:proofErr w:type="spellEnd"/>
      <w:r w:rsidRPr="00591BD8">
        <w:t xml:space="preserve"> </w:t>
      </w:r>
      <w:proofErr w:type="spellStart"/>
      <w:r w:rsidRPr="00591BD8">
        <w:t>aprendizaje</w:t>
      </w:r>
      <w:proofErr w:type="spellEnd"/>
      <w:r w:rsidRPr="00591BD8">
        <w:t xml:space="preserve"> de las </w:t>
      </w:r>
      <w:proofErr w:type="spellStart"/>
      <w:r w:rsidRPr="00591BD8">
        <w:t>matemáticas</w:t>
      </w:r>
      <w:proofErr w:type="spellEnd"/>
      <w:r w:rsidRPr="00591BD8">
        <w:t xml:space="preserve"> se </w:t>
      </w:r>
      <w:proofErr w:type="spellStart"/>
      <w:r w:rsidRPr="00591BD8">
        <w:t>muestran</w:t>
      </w:r>
      <w:proofErr w:type="spellEnd"/>
      <w:r w:rsidRPr="00591BD8">
        <w:t xml:space="preserve"> </w:t>
      </w:r>
      <w:proofErr w:type="spellStart"/>
      <w:r w:rsidRPr="00591BD8">
        <w:t>en</w:t>
      </w:r>
      <w:proofErr w:type="spellEnd"/>
      <w:r w:rsidRPr="00591BD8">
        <w:t xml:space="preserve"> la </w:t>
      </w:r>
      <w:proofErr w:type="spellStart"/>
      <w:r w:rsidRPr="00591BD8">
        <w:t>Tabla</w:t>
      </w:r>
      <w:proofErr w:type="spellEnd"/>
      <w:r w:rsidRPr="00591BD8">
        <w:t xml:space="preserve"> 2.</w:t>
      </w:r>
    </w:p>
    <w:p w14:paraId="204322D8" w14:textId="31AE1B9B" w:rsidR="00FA39F0" w:rsidRPr="00591BD8" w:rsidRDefault="00FA39F0" w:rsidP="00FA39F0">
      <w:pPr>
        <w:pStyle w:val="E-JournalHeading2"/>
        <w:jc w:val="center"/>
        <w:rPr>
          <w:sz w:val="20"/>
          <w:szCs w:val="20"/>
          <w:lang w:val="id-ID"/>
        </w:rPr>
      </w:pPr>
      <w:r w:rsidRPr="00591BD8">
        <w:rPr>
          <w:sz w:val="20"/>
          <w:szCs w:val="20"/>
        </w:rPr>
        <w:t xml:space="preserve">Table 2. </w:t>
      </w:r>
      <w:proofErr w:type="spellStart"/>
      <w:r w:rsidRPr="00591BD8">
        <w:rPr>
          <w:sz w:val="20"/>
          <w:szCs w:val="20"/>
        </w:rPr>
        <w:t>Cuadrícula</w:t>
      </w:r>
      <w:proofErr w:type="spellEnd"/>
      <w:r w:rsidRPr="00591BD8">
        <w:rPr>
          <w:sz w:val="20"/>
          <w:szCs w:val="20"/>
        </w:rPr>
        <w:t xml:space="preserve"> de </w:t>
      </w:r>
      <w:proofErr w:type="spellStart"/>
      <w:r w:rsidRPr="00591BD8">
        <w:rPr>
          <w:sz w:val="20"/>
          <w:szCs w:val="20"/>
        </w:rPr>
        <w:t>instrumentos</w:t>
      </w:r>
      <w:proofErr w:type="spellEnd"/>
      <w:r w:rsidRPr="00591BD8">
        <w:rPr>
          <w:sz w:val="20"/>
          <w:szCs w:val="20"/>
        </w:rPr>
        <w:t xml:space="preserve"> de las </w:t>
      </w:r>
      <w:proofErr w:type="spellStart"/>
      <w:r w:rsidRPr="00591BD8">
        <w:rPr>
          <w:sz w:val="20"/>
          <w:szCs w:val="20"/>
        </w:rPr>
        <w:t>habilidades</w:t>
      </w:r>
      <w:proofErr w:type="spellEnd"/>
      <w:r w:rsidRPr="00591BD8">
        <w:rPr>
          <w:sz w:val="20"/>
          <w:szCs w:val="20"/>
        </w:rPr>
        <w:t xml:space="preserve"> de </w:t>
      </w:r>
      <w:proofErr w:type="spellStart"/>
      <w:r w:rsidRPr="00591BD8">
        <w:rPr>
          <w:sz w:val="20"/>
          <w:szCs w:val="20"/>
        </w:rPr>
        <w:t>procesamiento</w:t>
      </w:r>
      <w:proofErr w:type="spellEnd"/>
      <w:r w:rsidRPr="00591BD8">
        <w:rPr>
          <w:sz w:val="20"/>
          <w:szCs w:val="20"/>
        </w:rPr>
        <w:t xml:space="preserve"> </w:t>
      </w:r>
      <w:proofErr w:type="spellStart"/>
      <w:r w:rsidRPr="00591BD8">
        <w:rPr>
          <w:sz w:val="20"/>
          <w:szCs w:val="20"/>
        </w:rPr>
        <w:t>matemático</w:t>
      </w:r>
      <w:proofErr w:type="spellEnd"/>
      <w:r w:rsidRPr="00591BD8">
        <w:rPr>
          <w:sz w:val="20"/>
          <w:szCs w:val="20"/>
        </w:rPr>
        <w:t xml:space="preserve"> de </w:t>
      </w:r>
      <w:proofErr w:type="spellStart"/>
      <w:r w:rsidRPr="00591BD8">
        <w:rPr>
          <w:sz w:val="20"/>
          <w:szCs w:val="20"/>
        </w:rPr>
        <w:t>los</w:t>
      </w:r>
      <w:proofErr w:type="spellEnd"/>
      <w:r w:rsidRPr="00591BD8">
        <w:rPr>
          <w:sz w:val="20"/>
          <w:szCs w:val="20"/>
        </w:rPr>
        <w:t xml:space="preserve"> </w:t>
      </w:r>
      <w:proofErr w:type="spellStart"/>
      <w:r w:rsidRPr="00591BD8">
        <w:rPr>
          <w:sz w:val="20"/>
          <w:szCs w:val="20"/>
        </w:rPr>
        <w:t>estudiantes</w:t>
      </w:r>
      <w:proofErr w:type="spellEnd"/>
      <w:r w:rsidRPr="00591BD8">
        <w:rPr>
          <w:sz w:val="20"/>
          <w:szCs w:val="20"/>
        </w:rPr>
        <w:t xml:space="preserve"> para </w:t>
      </w:r>
      <w:proofErr w:type="spellStart"/>
      <w:r w:rsidRPr="00591BD8">
        <w:rPr>
          <w:sz w:val="20"/>
          <w:szCs w:val="20"/>
        </w:rPr>
        <w:t>el</w:t>
      </w:r>
      <w:proofErr w:type="spellEnd"/>
      <w:r w:rsidRPr="00591BD8">
        <w:rPr>
          <w:sz w:val="20"/>
          <w:szCs w:val="20"/>
        </w:rPr>
        <w:t xml:space="preserve"> </w:t>
      </w:r>
      <w:proofErr w:type="spellStart"/>
      <w:r w:rsidRPr="00591BD8">
        <w:rPr>
          <w:sz w:val="20"/>
          <w:szCs w:val="20"/>
        </w:rPr>
        <w:t>aprendizaje</w:t>
      </w:r>
      <w:proofErr w:type="spellEnd"/>
      <w:r w:rsidRPr="00591BD8">
        <w:rPr>
          <w:sz w:val="20"/>
          <w:szCs w:val="20"/>
        </w:rPr>
        <w:t xml:space="preserve"> de las </w:t>
      </w:r>
      <w:proofErr w:type="spellStart"/>
      <w:r w:rsidRPr="00591BD8">
        <w:rPr>
          <w:sz w:val="20"/>
          <w:szCs w:val="20"/>
        </w:rPr>
        <w:t>matemáticas</w:t>
      </w:r>
      <w:proofErr w:type="spellEnd"/>
      <w:r w:rsidRPr="00591BD8">
        <w:rPr>
          <w:sz w:val="20"/>
          <w:szCs w:val="20"/>
        </w:rPr>
        <w:t>.</w:t>
      </w:r>
    </w:p>
    <w:tbl>
      <w:tblPr>
        <w:tblW w:w="3613" w:type="pct"/>
        <w:jc w:val="center"/>
        <w:tblBorders>
          <w:top w:val="single" w:sz="4" w:space="0" w:color="auto"/>
          <w:bottom w:val="single" w:sz="4" w:space="0" w:color="auto"/>
        </w:tblBorders>
        <w:tblLook w:val="04A0" w:firstRow="1" w:lastRow="0" w:firstColumn="1" w:lastColumn="0" w:noHBand="0" w:noVBand="1"/>
      </w:tblPr>
      <w:tblGrid>
        <w:gridCol w:w="1462"/>
        <w:gridCol w:w="4099"/>
        <w:gridCol w:w="1085"/>
      </w:tblGrid>
      <w:tr w:rsidR="00FA39F0" w:rsidRPr="00591BD8" w14:paraId="0DAE018B" w14:textId="77777777" w:rsidTr="000475D4">
        <w:trPr>
          <w:trHeight w:val="20"/>
          <w:jc w:val="center"/>
        </w:trPr>
        <w:tc>
          <w:tcPr>
            <w:tcW w:w="1100" w:type="pct"/>
            <w:tcBorders>
              <w:top w:val="single" w:sz="4" w:space="0" w:color="auto"/>
              <w:bottom w:val="single" w:sz="4" w:space="0" w:color="auto"/>
            </w:tcBorders>
          </w:tcPr>
          <w:p w14:paraId="285A13BE"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variables</w:t>
            </w:r>
          </w:p>
        </w:tc>
        <w:tc>
          <w:tcPr>
            <w:tcW w:w="3084" w:type="pct"/>
            <w:tcBorders>
              <w:top w:val="single" w:sz="4" w:space="0" w:color="auto"/>
              <w:bottom w:val="single" w:sz="4" w:space="0" w:color="auto"/>
            </w:tcBorders>
          </w:tcPr>
          <w:p w14:paraId="22B428A2"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Indicators</w:t>
            </w:r>
          </w:p>
        </w:tc>
        <w:tc>
          <w:tcPr>
            <w:tcW w:w="816" w:type="pct"/>
            <w:tcBorders>
              <w:top w:val="single" w:sz="4" w:space="0" w:color="auto"/>
              <w:bottom w:val="single" w:sz="4" w:space="0" w:color="auto"/>
            </w:tcBorders>
          </w:tcPr>
          <w:p w14:paraId="748782B3"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 xml:space="preserve">No hay </w:t>
            </w:r>
            <w:proofErr w:type="spellStart"/>
            <w:r w:rsidRPr="00591BD8">
              <w:rPr>
                <w:rFonts w:ascii="Times New Roman" w:hAnsi="Times New Roman"/>
                <w:sz w:val="20"/>
                <w:szCs w:val="20"/>
              </w:rPr>
              <w:t>artículos</w:t>
            </w:r>
            <w:proofErr w:type="spellEnd"/>
          </w:p>
        </w:tc>
      </w:tr>
      <w:tr w:rsidR="00FA39F0" w:rsidRPr="00591BD8" w14:paraId="18E8EB82" w14:textId="77777777" w:rsidTr="000475D4">
        <w:trPr>
          <w:trHeight w:val="20"/>
          <w:jc w:val="center"/>
        </w:trPr>
        <w:tc>
          <w:tcPr>
            <w:tcW w:w="1100" w:type="pct"/>
            <w:vMerge w:val="restart"/>
            <w:tcBorders>
              <w:top w:val="single" w:sz="4" w:space="0" w:color="auto"/>
            </w:tcBorders>
          </w:tcPr>
          <w:p w14:paraId="677DF65A"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Mathematical process skills.</w:t>
            </w:r>
          </w:p>
        </w:tc>
        <w:tc>
          <w:tcPr>
            <w:tcW w:w="3084" w:type="pct"/>
            <w:tcBorders>
              <w:top w:val="single" w:sz="4" w:space="0" w:color="auto"/>
            </w:tcBorders>
          </w:tcPr>
          <w:p w14:paraId="6660D820"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Observation capacity</w:t>
            </w:r>
          </w:p>
        </w:tc>
        <w:tc>
          <w:tcPr>
            <w:tcW w:w="816" w:type="pct"/>
            <w:tcBorders>
              <w:top w:val="single" w:sz="4" w:space="0" w:color="auto"/>
            </w:tcBorders>
          </w:tcPr>
          <w:p w14:paraId="2C502003"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1</w:t>
            </w:r>
          </w:p>
        </w:tc>
      </w:tr>
      <w:tr w:rsidR="00FA39F0" w:rsidRPr="00591BD8" w14:paraId="14A182FF" w14:textId="77777777" w:rsidTr="000475D4">
        <w:trPr>
          <w:trHeight w:val="20"/>
          <w:jc w:val="center"/>
        </w:trPr>
        <w:tc>
          <w:tcPr>
            <w:tcW w:w="1100" w:type="pct"/>
            <w:vMerge/>
          </w:tcPr>
          <w:p w14:paraId="3A9F9A97" w14:textId="77777777" w:rsidR="00FA39F0" w:rsidRPr="00591BD8" w:rsidRDefault="00FA39F0" w:rsidP="00FA39F0">
            <w:pPr>
              <w:spacing w:after="100" w:afterAutospacing="1"/>
              <w:rPr>
                <w:rFonts w:ascii="Times New Roman" w:hAnsi="Times New Roman"/>
                <w:sz w:val="20"/>
                <w:szCs w:val="20"/>
              </w:rPr>
            </w:pPr>
          </w:p>
        </w:tc>
        <w:tc>
          <w:tcPr>
            <w:tcW w:w="3084" w:type="pct"/>
          </w:tcPr>
          <w:p w14:paraId="17FA6DD2"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Calculation capacity</w:t>
            </w:r>
          </w:p>
        </w:tc>
        <w:tc>
          <w:tcPr>
            <w:tcW w:w="816" w:type="pct"/>
          </w:tcPr>
          <w:p w14:paraId="7D53D865"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2</w:t>
            </w:r>
          </w:p>
        </w:tc>
      </w:tr>
      <w:tr w:rsidR="00FA39F0" w:rsidRPr="00591BD8" w14:paraId="02498806" w14:textId="77777777" w:rsidTr="000475D4">
        <w:trPr>
          <w:trHeight w:val="20"/>
          <w:jc w:val="center"/>
        </w:trPr>
        <w:tc>
          <w:tcPr>
            <w:tcW w:w="1100" w:type="pct"/>
            <w:vMerge/>
          </w:tcPr>
          <w:p w14:paraId="132B1E1F" w14:textId="77777777" w:rsidR="00FA39F0" w:rsidRPr="00591BD8" w:rsidRDefault="00FA39F0" w:rsidP="00FA39F0">
            <w:pPr>
              <w:spacing w:after="100" w:afterAutospacing="1"/>
              <w:rPr>
                <w:rFonts w:ascii="Times New Roman" w:hAnsi="Times New Roman"/>
                <w:sz w:val="20"/>
                <w:szCs w:val="20"/>
              </w:rPr>
            </w:pPr>
          </w:p>
        </w:tc>
        <w:tc>
          <w:tcPr>
            <w:tcW w:w="3084" w:type="pct"/>
          </w:tcPr>
          <w:p w14:paraId="782F488D"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Measurement capacity</w:t>
            </w:r>
          </w:p>
        </w:tc>
        <w:tc>
          <w:tcPr>
            <w:tcW w:w="816" w:type="pct"/>
          </w:tcPr>
          <w:p w14:paraId="48FF3964"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3</w:t>
            </w:r>
          </w:p>
        </w:tc>
      </w:tr>
      <w:tr w:rsidR="00FA39F0" w:rsidRPr="00591BD8" w14:paraId="054C5C9C" w14:textId="77777777" w:rsidTr="000475D4">
        <w:trPr>
          <w:trHeight w:val="80"/>
          <w:jc w:val="center"/>
        </w:trPr>
        <w:tc>
          <w:tcPr>
            <w:tcW w:w="1100" w:type="pct"/>
            <w:vMerge/>
          </w:tcPr>
          <w:p w14:paraId="59F407B9" w14:textId="77777777" w:rsidR="00FA39F0" w:rsidRPr="00591BD8" w:rsidRDefault="00FA39F0" w:rsidP="00FA39F0">
            <w:pPr>
              <w:spacing w:after="100" w:afterAutospacing="1"/>
              <w:rPr>
                <w:rFonts w:ascii="Times New Roman" w:hAnsi="Times New Roman"/>
                <w:sz w:val="20"/>
                <w:szCs w:val="20"/>
              </w:rPr>
            </w:pPr>
          </w:p>
        </w:tc>
        <w:tc>
          <w:tcPr>
            <w:tcW w:w="3084" w:type="pct"/>
          </w:tcPr>
          <w:p w14:paraId="01D9313C"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Capacity of classification</w:t>
            </w:r>
          </w:p>
        </w:tc>
        <w:tc>
          <w:tcPr>
            <w:tcW w:w="816" w:type="pct"/>
          </w:tcPr>
          <w:p w14:paraId="044279EE"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4</w:t>
            </w:r>
          </w:p>
        </w:tc>
      </w:tr>
      <w:tr w:rsidR="00FA39F0" w:rsidRPr="00591BD8" w14:paraId="7A2A1B84" w14:textId="77777777" w:rsidTr="000475D4">
        <w:trPr>
          <w:trHeight w:val="80"/>
          <w:jc w:val="center"/>
        </w:trPr>
        <w:tc>
          <w:tcPr>
            <w:tcW w:w="1100" w:type="pct"/>
            <w:vMerge/>
          </w:tcPr>
          <w:p w14:paraId="5D89792B" w14:textId="77777777" w:rsidR="00FA39F0" w:rsidRPr="00591BD8" w:rsidRDefault="00FA39F0" w:rsidP="00FA39F0">
            <w:pPr>
              <w:spacing w:after="100" w:afterAutospacing="1"/>
              <w:rPr>
                <w:rFonts w:ascii="Times New Roman" w:hAnsi="Times New Roman"/>
                <w:sz w:val="20"/>
                <w:szCs w:val="20"/>
              </w:rPr>
            </w:pPr>
          </w:p>
        </w:tc>
        <w:tc>
          <w:tcPr>
            <w:tcW w:w="3084" w:type="pct"/>
          </w:tcPr>
          <w:p w14:paraId="7DFA5384" w14:textId="77777777" w:rsidR="00FA39F0" w:rsidRPr="00591BD8" w:rsidRDefault="00FA39F0" w:rsidP="00FA39F0">
            <w:pPr>
              <w:spacing w:after="100" w:afterAutospacing="1"/>
              <w:rPr>
                <w:rFonts w:ascii="Times New Roman" w:hAnsi="Times New Roman"/>
                <w:sz w:val="20"/>
                <w:szCs w:val="20"/>
              </w:rPr>
            </w:pPr>
            <w:proofErr w:type="spellStart"/>
            <w:r w:rsidRPr="00591BD8">
              <w:rPr>
                <w:rFonts w:ascii="Times New Roman" w:hAnsi="Times New Roman"/>
                <w:sz w:val="20"/>
                <w:szCs w:val="20"/>
              </w:rPr>
              <w:t>capacidad</w:t>
            </w:r>
            <w:proofErr w:type="spellEnd"/>
            <w:r w:rsidRPr="00591BD8">
              <w:rPr>
                <w:rFonts w:ascii="Times New Roman" w:hAnsi="Times New Roman"/>
                <w:sz w:val="20"/>
                <w:szCs w:val="20"/>
              </w:rPr>
              <w:t xml:space="preserve"> de </w:t>
            </w:r>
            <w:proofErr w:type="spellStart"/>
            <w:r w:rsidRPr="00591BD8">
              <w:rPr>
                <w:rFonts w:ascii="Times New Roman" w:hAnsi="Times New Roman"/>
                <w:sz w:val="20"/>
                <w:szCs w:val="20"/>
              </w:rPr>
              <w:t>encontrar</w:t>
            </w:r>
            <w:proofErr w:type="spellEnd"/>
            <w:r w:rsidRPr="00591BD8">
              <w:rPr>
                <w:rFonts w:ascii="Times New Roman" w:hAnsi="Times New Roman"/>
                <w:sz w:val="20"/>
                <w:szCs w:val="20"/>
              </w:rPr>
              <w:t xml:space="preserve"> </w:t>
            </w:r>
            <w:proofErr w:type="spellStart"/>
            <w:r w:rsidRPr="00591BD8">
              <w:rPr>
                <w:rFonts w:ascii="Times New Roman" w:hAnsi="Times New Roman"/>
                <w:sz w:val="20"/>
                <w:szCs w:val="20"/>
              </w:rPr>
              <w:t>relaciones</w:t>
            </w:r>
            <w:proofErr w:type="spellEnd"/>
          </w:p>
        </w:tc>
        <w:tc>
          <w:tcPr>
            <w:tcW w:w="816" w:type="pct"/>
          </w:tcPr>
          <w:p w14:paraId="0762F3A8"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5</w:t>
            </w:r>
          </w:p>
        </w:tc>
      </w:tr>
      <w:tr w:rsidR="00FA39F0" w:rsidRPr="00591BD8" w14:paraId="6BEA16B8" w14:textId="77777777" w:rsidTr="000475D4">
        <w:trPr>
          <w:trHeight w:val="80"/>
          <w:jc w:val="center"/>
        </w:trPr>
        <w:tc>
          <w:tcPr>
            <w:tcW w:w="1100" w:type="pct"/>
            <w:vMerge/>
          </w:tcPr>
          <w:p w14:paraId="3C6E8C97" w14:textId="77777777" w:rsidR="00FA39F0" w:rsidRPr="00591BD8" w:rsidRDefault="00FA39F0" w:rsidP="00FA39F0">
            <w:pPr>
              <w:spacing w:after="100" w:afterAutospacing="1"/>
              <w:rPr>
                <w:rFonts w:ascii="Times New Roman" w:hAnsi="Times New Roman"/>
                <w:sz w:val="20"/>
                <w:szCs w:val="20"/>
              </w:rPr>
            </w:pPr>
          </w:p>
        </w:tc>
        <w:tc>
          <w:tcPr>
            <w:tcW w:w="3084" w:type="pct"/>
          </w:tcPr>
          <w:p w14:paraId="78145D96" w14:textId="77777777" w:rsidR="00FA39F0" w:rsidRPr="00591BD8" w:rsidRDefault="00FA39F0" w:rsidP="00FA39F0">
            <w:pPr>
              <w:spacing w:after="100" w:afterAutospacing="1"/>
              <w:rPr>
                <w:rFonts w:ascii="Times New Roman" w:hAnsi="Times New Roman"/>
                <w:sz w:val="20"/>
                <w:szCs w:val="20"/>
              </w:rPr>
            </w:pPr>
            <w:proofErr w:type="spellStart"/>
            <w:r w:rsidRPr="00591BD8">
              <w:rPr>
                <w:rFonts w:ascii="Times New Roman" w:hAnsi="Times New Roman"/>
                <w:sz w:val="20"/>
                <w:szCs w:val="20"/>
              </w:rPr>
              <w:t>capacidad</w:t>
            </w:r>
            <w:proofErr w:type="spellEnd"/>
            <w:r w:rsidRPr="00591BD8">
              <w:rPr>
                <w:rFonts w:ascii="Times New Roman" w:hAnsi="Times New Roman"/>
                <w:sz w:val="20"/>
                <w:szCs w:val="20"/>
              </w:rPr>
              <w:t xml:space="preserve"> de </w:t>
            </w:r>
            <w:proofErr w:type="spellStart"/>
            <w:r w:rsidRPr="00591BD8">
              <w:rPr>
                <w:rFonts w:ascii="Times New Roman" w:hAnsi="Times New Roman"/>
                <w:sz w:val="20"/>
                <w:szCs w:val="20"/>
              </w:rPr>
              <w:t>hacer</w:t>
            </w:r>
            <w:proofErr w:type="spellEnd"/>
            <w:r w:rsidRPr="00591BD8">
              <w:rPr>
                <w:rFonts w:ascii="Times New Roman" w:hAnsi="Times New Roman"/>
                <w:sz w:val="20"/>
                <w:szCs w:val="20"/>
              </w:rPr>
              <w:t xml:space="preserve"> </w:t>
            </w:r>
            <w:proofErr w:type="spellStart"/>
            <w:r w:rsidRPr="00591BD8">
              <w:rPr>
                <w:rFonts w:ascii="Times New Roman" w:hAnsi="Times New Roman"/>
                <w:sz w:val="20"/>
                <w:szCs w:val="20"/>
              </w:rPr>
              <w:t>predicciones</w:t>
            </w:r>
            <w:proofErr w:type="spellEnd"/>
          </w:p>
        </w:tc>
        <w:tc>
          <w:tcPr>
            <w:tcW w:w="816" w:type="pct"/>
          </w:tcPr>
          <w:p w14:paraId="40573070"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6</w:t>
            </w:r>
          </w:p>
        </w:tc>
      </w:tr>
      <w:tr w:rsidR="00FA39F0" w:rsidRPr="00591BD8" w14:paraId="73FDB081" w14:textId="77777777" w:rsidTr="000475D4">
        <w:trPr>
          <w:trHeight w:val="80"/>
          <w:jc w:val="center"/>
        </w:trPr>
        <w:tc>
          <w:tcPr>
            <w:tcW w:w="1100" w:type="pct"/>
            <w:vMerge/>
          </w:tcPr>
          <w:p w14:paraId="0E768F7A" w14:textId="77777777" w:rsidR="00FA39F0" w:rsidRPr="00591BD8" w:rsidRDefault="00FA39F0" w:rsidP="00FA39F0">
            <w:pPr>
              <w:spacing w:after="100" w:afterAutospacing="1"/>
              <w:rPr>
                <w:rFonts w:ascii="Times New Roman" w:hAnsi="Times New Roman"/>
                <w:sz w:val="20"/>
                <w:szCs w:val="20"/>
              </w:rPr>
            </w:pPr>
          </w:p>
        </w:tc>
        <w:tc>
          <w:tcPr>
            <w:tcW w:w="3084" w:type="pct"/>
          </w:tcPr>
          <w:p w14:paraId="756AEDE5" w14:textId="77777777" w:rsidR="00FA39F0" w:rsidRPr="00591BD8" w:rsidRDefault="00FA39F0" w:rsidP="00FA39F0">
            <w:pPr>
              <w:spacing w:after="100" w:afterAutospacing="1"/>
              <w:rPr>
                <w:rFonts w:ascii="Times New Roman" w:hAnsi="Times New Roman"/>
                <w:sz w:val="20"/>
                <w:szCs w:val="20"/>
              </w:rPr>
            </w:pPr>
            <w:proofErr w:type="spellStart"/>
            <w:r w:rsidRPr="00591BD8">
              <w:rPr>
                <w:rFonts w:ascii="Times New Roman" w:hAnsi="Times New Roman"/>
                <w:sz w:val="20"/>
                <w:szCs w:val="20"/>
              </w:rPr>
              <w:t>capacidad</w:t>
            </w:r>
            <w:proofErr w:type="spellEnd"/>
            <w:r w:rsidRPr="00591BD8">
              <w:rPr>
                <w:rFonts w:ascii="Times New Roman" w:hAnsi="Times New Roman"/>
                <w:sz w:val="20"/>
                <w:szCs w:val="20"/>
              </w:rPr>
              <w:t xml:space="preserve"> para </w:t>
            </w:r>
            <w:proofErr w:type="spellStart"/>
            <w:r w:rsidRPr="00591BD8">
              <w:rPr>
                <w:rFonts w:ascii="Times New Roman" w:hAnsi="Times New Roman"/>
                <w:sz w:val="20"/>
                <w:szCs w:val="20"/>
              </w:rPr>
              <w:t>realizar</w:t>
            </w:r>
            <w:proofErr w:type="spellEnd"/>
            <w:r w:rsidRPr="00591BD8">
              <w:rPr>
                <w:rFonts w:ascii="Times New Roman" w:hAnsi="Times New Roman"/>
                <w:sz w:val="20"/>
                <w:szCs w:val="20"/>
              </w:rPr>
              <w:t xml:space="preserve"> </w:t>
            </w:r>
            <w:proofErr w:type="spellStart"/>
            <w:r w:rsidRPr="00591BD8">
              <w:rPr>
                <w:rFonts w:ascii="Times New Roman" w:hAnsi="Times New Roman"/>
                <w:sz w:val="20"/>
                <w:szCs w:val="20"/>
              </w:rPr>
              <w:t>investigaciones</w:t>
            </w:r>
            <w:proofErr w:type="spellEnd"/>
          </w:p>
        </w:tc>
        <w:tc>
          <w:tcPr>
            <w:tcW w:w="816" w:type="pct"/>
          </w:tcPr>
          <w:p w14:paraId="22355B56"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7</w:t>
            </w:r>
          </w:p>
        </w:tc>
      </w:tr>
      <w:tr w:rsidR="00FA39F0" w:rsidRPr="00591BD8" w14:paraId="4A1B9AFC" w14:textId="77777777" w:rsidTr="000475D4">
        <w:trPr>
          <w:trHeight w:val="80"/>
          <w:jc w:val="center"/>
        </w:trPr>
        <w:tc>
          <w:tcPr>
            <w:tcW w:w="1100" w:type="pct"/>
            <w:vMerge/>
          </w:tcPr>
          <w:p w14:paraId="666942E4" w14:textId="77777777" w:rsidR="00FA39F0" w:rsidRPr="00591BD8" w:rsidRDefault="00FA39F0" w:rsidP="00FA39F0">
            <w:pPr>
              <w:spacing w:after="100" w:afterAutospacing="1"/>
              <w:rPr>
                <w:rFonts w:ascii="Times New Roman" w:hAnsi="Times New Roman"/>
                <w:sz w:val="20"/>
                <w:szCs w:val="20"/>
              </w:rPr>
            </w:pPr>
          </w:p>
        </w:tc>
        <w:tc>
          <w:tcPr>
            <w:tcW w:w="3084" w:type="pct"/>
          </w:tcPr>
          <w:p w14:paraId="6F3812BF" w14:textId="77777777" w:rsidR="00FA39F0" w:rsidRPr="00591BD8" w:rsidRDefault="00FA39F0" w:rsidP="00FA39F0">
            <w:pPr>
              <w:spacing w:after="100" w:afterAutospacing="1"/>
              <w:rPr>
                <w:rFonts w:ascii="Times New Roman" w:hAnsi="Times New Roman"/>
                <w:sz w:val="20"/>
                <w:szCs w:val="20"/>
              </w:rPr>
            </w:pPr>
            <w:proofErr w:type="spellStart"/>
            <w:r w:rsidRPr="00591BD8">
              <w:rPr>
                <w:rFonts w:ascii="Times New Roman" w:hAnsi="Times New Roman"/>
                <w:sz w:val="20"/>
                <w:szCs w:val="20"/>
              </w:rPr>
              <w:t>capacidad</w:t>
            </w:r>
            <w:proofErr w:type="spellEnd"/>
            <w:r w:rsidRPr="00591BD8">
              <w:rPr>
                <w:rFonts w:ascii="Times New Roman" w:hAnsi="Times New Roman"/>
                <w:sz w:val="20"/>
                <w:szCs w:val="20"/>
              </w:rPr>
              <w:t xml:space="preserve"> de </w:t>
            </w:r>
            <w:proofErr w:type="spellStart"/>
            <w:r w:rsidRPr="00591BD8">
              <w:rPr>
                <w:rFonts w:ascii="Times New Roman" w:hAnsi="Times New Roman"/>
                <w:sz w:val="20"/>
                <w:szCs w:val="20"/>
              </w:rPr>
              <w:t>recopilar</w:t>
            </w:r>
            <w:proofErr w:type="spellEnd"/>
            <w:r w:rsidRPr="00591BD8">
              <w:rPr>
                <w:rFonts w:ascii="Times New Roman" w:hAnsi="Times New Roman"/>
                <w:sz w:val="20"/>
                <w:szCs w:val="20"/>
              </w:rPr>
              <w:t xml:space="preserve"> y </w:t>
            </w:r>
            <w:proofErr w:type="spellStart"/>
            <w:r w:rsidRPr="00591BD8">
              <w:rPr>
                <w:rFonts w:ascii="Times New Roman" w:hAnsi="Times New Roman"/>
                <w:sz w:val="20"/>
                <w:szCs w:val="20"/>
              </w:rPr>
              <w:t>analizar</w:t>
            </w:r>
            <w:proofErr w:type="spellEnd"/>
            <w:r w:rsidRPr="00591BD8">
              <w:rPr>
                <w:rFonts w:ascii="Times New Roman" w:hAnsi="Times New Roman"/>
                <w:sz w:val="20"/>
                <w:szCs w:val="20"/>
              </w:rPr>
              <w:t xml:space="preserve"> </w:t>
            </w:r>
            <w:proofErr w:type="spellStart"/>
            <w:r w:rsidRPr="00591BD8">
              <w:rPr>
                <w:rFonts w:ascii="Times New Roman" w:hAnsi="Times New Roman"/>
                <w:sz w:val="20"/>
                <w:szCs w:val="20"/>
              </w:rPr>
              <w:t>datos</w:t>
            </w:r>
            <w:proofErr w:type="spellEnd"/>
          </w:p>
        </w:tc>
        <w:tc>
          <w:tcPr>
            <w:tcW w:w="816" w:type="pct"/>
          </w:tcPr>
          <w:p w14:paraId="55341522"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8</w:t>
            </w:r>
          </w:p>
        </w:tc>
      </w:tr>
      <w:tr w:rsidR="00FA39F0" w:rsidRPr="00591BD8" w14:paraId="0107AF15" w14:textId="77777777" w:rsidTr="000475D4">
        <w:trPr>
          <w:trHeight w:val="80"/>
          <w:jc w:val="center"/>
        </w:trPr>
        <w:tc>
          <w:tcPr>
            <w:tcW w:w="1100" w:type="pct"/>
            <w:vMerge/>
          </w:tcPr>
          <w:p w14:paraId="20158306" w14:textId="77777777" w:rsidR="00FA39F0" w:rsidRPr="00591BD8" w:rsidRDefault="00FA39F0" w:rsidP="00FA39F0">
            <w:pPr>
              <w:spacing w:after="100" w:afterAutospacing="1"/>
              <w:rPr>
                <w:rFonts w:ascii="Times New Roman" w:hAnsi="Times New Roman"/>
                <w:sz w:val="20"/>
                <w:szCs w:val="20"/>
              </w:rPr>
            </w:pPr>
          </w:p>
        </w:tc>
        <w:tc>
          <w:tcPr>
            <w:tcW w:w="3084" w:type="pct"/>
          </w:tcPr>
          <w:p w14:paraId="74504FF9" w14:textId="77777777" w:rsidR="00FA39F0" w:rsidRPr="00591BD8" w:rsidRDefault="00FA39F0" w:rsidP="00FA39F0">
            <w:pPr>
              <w:spacing w:after="100" w:afterAutospacing="1"/>
              <w:rPr>
                <w:rFonts w:ascii="Times New Roman" w:hAnsi="Times New Roman"/>
                <w:sz w:val="20"/>
                <w:szCs w:val="20"/>
              </w:rPr>
            </w:pPr>
            <w:proofErr w:type="spellStart"/>
            <w:r w:rsidRPr="00591BD8">
              <w:rPr>
                <w:rFonts w:ascii="Times New Roman" w:hAnsi="Times New Roman"/>
                <w:sz w:val="20"/>
                <w:szCs w:val="20"/>
              </w:rPr>
              <w:t>capacidad</w:t>
            </w:r>
            <w:proofErr w:type="spellEnd"/>
            <w:r w:rsidRPr="00591BD8">
              <w:rPr>
                <w:rFonts w:ascii="Times New Roman" w:hAnsi="Times New Roman"/>
                <w:sz w:val="20"/>
                <w:szCs w:val="20"/>
              </w:rPr>
              <w:t xml:space="preserve"> de interpreting </w:t>
            </w:r>
            <w:proofErr w:type="spellStart"/>
            <w:r w:rsidRPr="00591BD8">
              <w:rPr>
                <w:rFonts w:ascii="Times New Roman" w:hAnsi="Times New Roman"/>
                <w:sz w:val="20"/>
                <w:szCs w:val="20"/>
              </w:rPr>
              <w:t>datos</w:t>
            </w:r>
            <w:proofErr w:type="spellEnd"/>
          </w:p>
        </w:tc>
        <w:tc>
          <w:tcPr>
            <w:tcW w:w="816" w:type="pct"/>
          </w:tcPr>
          <w:p w14:paraId="4818F8A5"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9</w:t>
            </w:r>
          </w:p>
        </w:tc>
      </w:tr>
      <w:tr w:rsidR="00FA39F0" w:rsidRPr="00591BD8" w14:paraId="50134553" w14:textId="77777777" w:rsidTr="000475D4">
        <w:trPr>
          <w:trHeight w:val="80"/>
          <w:jc w:val="center"/>
        </w:trPr>
        <w:tc>
          <w:tcPr>
            <w:tcW w:w="1100" w:type="pct"/>
            <w:vMerge/>
          </w:tcPr>
          <w:p w14:paraId="1ED463A4" w14:textId="77777777" w:rsidR="00FA39F0" w:rsidRPr="00591BD8" w:rsidRDefault="00FA39F0" w:rsidP="00FA39F0">
            <w:pPr>
              <w:spacing w:after="100" w:afterAutospacing="1"/>
              <w:rPr>
                <w:rFonts w:ascii="Times New Roman" w:hAnsi="Times New Roman"/>
                <w:sz w:val="20"/>
                <w:szCs w:val="20"/>
              </w:rPr>
            </w:pPr>
          </w:p>
        </w:tc>
        <w:tc>
          <w:tcPr>
            <w:tcW w:w="3084" w:type="pct"/>
          </w:tcPr>
          <w:p w14:paraId="54FF4818"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ability to communicate results</w:t>
            </w:r>
          </w:p>
        </w:tc>
        <w:tc>
          <w:tcPr>
            <w:tcW w:w="816" w:type="pct"/>
          </w:tcPr>
          <w:p w14:paraId="607DAAEE"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10</w:t>
            </w:r>
          </w:p>
        </w:tc>
      </w:tr>
      <w:tr w:rsidR="00FA39F0" w:rsidRPr="00591BD8" w14:paraId="5810B078" w14:textId="77777777" w:rsidTr="000475D4">
        <w:trPr>
          <w:trHeight w:val="20"/>
          <w:jc w:val="center"/>
        </w:trPr>
        <w:tc>
          <w:tcPr>
            <w:tcW w:w="4184" w:type="pct"/>
            <w:gridSpan w:val="2"/>
            <w:vAlign w:val="center"/>
          </w:tcPr>
          <w:p w14:paraId="0E576B54"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Total</w:t>
            </w:r>
          </w:p>
        </w:tc>
        <w:tc>
          <w:tcPr>
            <w:tcW w:w="816" w:type="pct"/>
          </w:tcPr>
          <w:p w14:paraId="4ABD37C0" w14:textId="77777777" w:rsidR="00FA39F0" w:rsidRPr="00591BD8" w:rsidRDefault="00FA39F0" w:rsidP="00FA39F0">
            <w:pPr>
              <w:spacing w:after="100" w:afterAutospacing="1"/>
              <w:rPr>
                <w:rFonts w:ascii="Times New Roman" w:hAnsi="Times New Roman"/>
                <w:sz w:val="20"/>
                <w:szCs w:val="20"/>
              </w:rPr>
            </w:pPr>
            <w:r w:rsidRPr="00591BD8">
              <w:rPr>
                <w:rFonts w:ascii="Times New Roman" w:hAnsi="Times New Roman"/>
                <w:sz w:val="20"/>
                <w:szCs w:val="20"/>
              </w:rPr>
              <w:t>10</w:t>
            </w:r>
          </w:p>
        </w:tc>
      </w:tr>
    </w:tbl>
    <w:p w14:paraId="23EFBF31" w14:textId="77777777" w:rsidR="00FA39F0" w:rsidRPr="00591BD8" w:rsidRDefault="00FA39F0" w:rsidP="00FA39F0">
      <w:pPr>
        <w:pStyle w:val="E-JournalHeading2"/>
        <w:ind w:firstLine="720"/>
        <w:jc w:val="both"/>
        <w:rPr>
          <w:lang w:val="id-ID"/>
        </w:rPr>
      </w:pPr>
      <w:r w:rsidRPr="00591BD8">
        <w:t xml:space="preserve">After explaining the grill of instruments of indicators of cognitive psychology of students, measurements were carried out through descriptive statistical tests. </w:t>
      </w:r>
      <w:proofErr w:type="spellStart"/>
      <w:r w:rsidRPr="00591BD8">
        <w:t>Categoría</w:t>
      </w:r>
      <w:proofErr w:type="spellEnd"/>
      <w:r w:rsidRPr="00591BD8">
        <w:t xml:space="preserve"> de </w:t>
      </w:r>
      <w:proofErr w:type="spellStart"/>
      <w:r w:rsidRPr="00591BD8">
        <w:t>psicología</w:t>
      </w:r>
      <w:proofErr w:type="spellEnd"/>
      <w:r w:rsidRPr="00591BD8">
        <w:t xml:space="preserve"> </w:t>
      </w:r>
      <w:proofErr w:type="spellStart"/>
      <w:r w:rsidRPr="00591BD8">
        <w:t>cognitiva</w:t>
      </w:r>
      <w:proofErr w:type="spellEnd"/>
      <w:r w:rsidRPr="00591BD8">
        <w:t xml:space="preserve"> </w:t>
      </w:r>
      <w:proofErr w:type="spellStart"/>
      <w:r w:rsidRPr="00591BD8">
        <w:t>estudiantil</w:t>
      </w:r>
      <w:proofErr w:type="spellEnd"/>
      <w:r w:rsidRPr="00591BD8">
        <w:t>. The categories of answers of students to learning mathematics are shown in Table 3.</w:t>
      </w:r>
    </w:p>
    <w:p w14:paraId="7FC59D22" w14:textId="3F867146" w:rsidR="00FA39F0" w:rsidRPr="00591BD8" w:rsidRDefault="00FA39F0" w:rsidP="00A55776">
      <w:pPr>
        <w:pStyle w:val="E-JournalHeading2"/>
        <w:jc w:val="center"/>
        <w:rPr>
          <w:sz w:val="20"/>
          <w:szCs w:val="20"/>
          <w:lang w:val="id-ID"/>
        </w:rPr>
      </w:pPr>
      <w:r w:rsidRPr="00591BD8">
        <w:rPr>
          <w:sz w:val="20"/>
          <w:szCs w:val="20"/>
        </w:rPr>
        <w:t xml:space="preserve">Table 3. </w:t>
      </w:r>
      <w:proofErr w:type="spellStart"/>
      <w:r w:rsidRPr="00591BD8">
        <w:rPr>
          <w:sz w:val="20"/>
          <w:szCs w:val="20"/>
        </w:rPr>
        <w:t>Cuadrícula</w:t>
      </w:r>
      <w:proofErr w:type="spellEnd"/>
      <w:r w:rsidRPr="00591BD8">
        <w:rPr>
          <w:sz w:val="20"/>
          <w:szCs w:val="20"/>
        </w:rPr>
        <w:t xml:space="preserve"> de </w:t>
      </w:r>
      <w:proofErr w:type="spellStart"/>
      <w:r w:rsidRPr="00591BD8">
        <w:rPr>
          <w:sz w:val="20"/>
          <w:szCs w:val="20"/>
        </w:rPr>
        <w:t>instrumentos</w:t>
      </w:r>
      <w:proofErr w:type="spellEnd"/>
      <w:r w:rsidRPr="00591BD8">
        <w:rPr>
          <w:sz w:val="20"/>
          <w:szCs w:val="20"/>
        </w:rPr>
        <w:t xml:space="preserve"> de </w:t>
      </w:r>
      <w:proofErr w:type="spellStart"/>
      <w:r w:rsidRPr="00591BD8">
        <w:rPr>
          <w:sz w:val="20"/>
          <w:szCs w:val="20"/>
        </w:rPr>
        <w:t>respuesta</w:t>
      </w:r>
      <w:proofErr w:type="spellEnd"/>
      <w:r w:rsidRPr="00591BD8">
        <w:rPr>
          <w:sz w:val="20"/>
          <w:szCs w:val="20"/>
        </w:rPr>
        <w:t xml:space="preserve"> de </w:t>
      </w:r>
      <w:proofErr w:type="spellStart"/>
      <w:r w:rsidRPr="00591BD8">
        <w:rPr>
          <w:sz w:val="20"/>
          <w:szCs w:val="20"/>
        </w:rPr>
        <w:t>los</w:t>
      </w:r>
      <w:proofErr w:type="spellEnd"/>
      <w:r w:rsidRPr="00591BD8">
        <w:rPr>
          <w:sz w:val="20"/>
          <w:szCs w:val="20"/>
        </w:rPr>
        <w:t xml:space="preserve"> </w:t>
      </w:r>
      <w:proofErr w:type="spellStart"/>
      <w:r w:rsidRPr="00591BD8">
        <w:rPr>
          <w:sz w:val="20"/>
          <w:szCs w:val="20"/>
        </w:rPr>
        <w:t>estudiantes</w:t>
      </w:r>
      <w:proofErr w:type="spellEnd"/>
      <w:r w:rsidRPr="00591BD8">
        <w:rPr>
          <w:sz w:val="20"/>
          <w:szCs w:val="20"/>
        </w:rPr>
        <w:t xml:space="preserve"> al </w:t>
      </w:r>
      <w:proofErr w:type="spellStart"/>
      <w:r w:rsidRPr="00591BD8">
        <w:rPr>
          <w:sz w:val="20"/>
          <w:szCs w:val="20"/>
        </w:rPr>
        <w:t>aprendizaje</w:t>
      </w:r>
      <w:proofErr w:type="spellEnd"/>
      <w:r w:rsidRPr="00591BD8">
        <w:rPr>
          <w:sz w:val="20"/>
          <w:szCs w:val="20"/>
        </w:rPr>
        <w:t xml:space="preserve"> de </w:t>
      </w:r>
      <w:proofErr w:type="spellStart"/>
      <w:r w:rsidRPr="00591BD8">
        <w:rPr>
          <w:sz w:val="20"/>
          <w:szCs w:val="20"/>
        </w:rPr>
        <w:t>matemáticas</w:t>
      </w:r>
      <w:proofErr w:type="spellEnd"/>
    </w:p>
    <w:tbl>
      <w:tblPr>
        <w:tblW w:w="5000" w:type="pct"/>
        <w:jc w:val="center"/>
        <w:tblBorders>
          <w:top w:val="single" w:sz="4" w:space="0" w:color="auto"/>
          <w:bottom w:val="single" w:sz="4" w:space="0" w:color="auto"/>
        </w:tblBorders>
        <w:tblLook w:val="04A0" w:firstRow="1" w:lastRow="0" w:firstColumn="1" w:lastColumn="0" w:noHBand="0" w:noVBand="1"/>
      </w:tblPr>
      <w:tblGrid>
        <w:gridCol w:w="2082"/>
        <w:gridCol w:w="5502"/>
        <w:gridCol w:w="1613"/>
      </w:tblGrid>
      <w:tr w:rsidR="00FA39F0" w:rsidRPr="00591BD8" w14:paraId="4FBAF383" w14:textId="77777777" w:rsidTr="000475D4">
        <w:trPr>
          <w:trHeight w:val="20"/>
          <w:jc w:val="center"/>
        </w:trPr>
        <w:tc>
          <w:tcPr>
            <w:tcW w:w="1132" w:type="pct"/>
            <w:tcBorders>
              <w:top w:val="single" w:sz="4" w:space="0" w:color="auto"/>
              <w:bottom w:val="single" w:sz="4" w:space="0" w:color="auto"/>
            </w:tcBorders>
          </w:tcPr>
          <w:p w14:paraId="2147BD1D" w14:textId="77777777" w:rsidR="00FA39F0" w:rsidRPr="00591BD8" w:rsidRDefault="00FA39F0" w:rsidP="00FA39F0">
            <w:pPr>
              <w:spacing w:after="0"/>
              <w:jc w:val="both"/>
              <w:rPr>
                <w:rFonts w:ascii="Times New Roman" w:hAnsi="Times New Roman"/>
                <w:sz w:val="20"/>
                <w:szCs w:val="20"/>
                <w:lang w:val="en-ID"/>
              </w:rPr>
            </w:pPr>
            <w:r w:rsidRPr="00591BD8">
              <w:rPr>
                <w:rFonts w:ascii="Times New Roman" w:hAnsi="Times New Roman"/>
                <w:sz w:val="20"/>
                <w:szCs w:val="20"/>
              </w:rPr>
              <w:t>variables</w:t>
            </w:r>
          </w:p>
        </w:tc>
        <w:tc>
          <w:tcPr>
            <w:tcW w:w="2991" w:type="pct"/>
            <w:tcBorders>
              <w:top w:val="single" w:sz="4" w:space="0" w:color="auto"/>
              <w:bottom w:val="single" w:sz="4" w:space="0" w:color="auto"/>
            </w:tcBorders>
          </w:tcPr>
          <w:p w14:paraId="582EB78F" w14:textId="77777777" w:rsidR="00FA39F0" w:rsidRPr="00591BD8" w:rsidRDefault="00FA39F0" w:rsidP="00FA39F0">
            <w:pPr>
              <w:spacing w:after="0"/>
              <w:jc w:val="both"/>
              <w:rPr>
                <w:rFonts w:ascii="Times New Roman" w:hAnsi="Times New Roman"/>
                <w:sz w:val="20"/>
                <w:szCs w:val="20"/>
                <w:lang w:val="en-ID"/>
              </w:rPr>
            </w:pPr>
            <w:r w:rsidRPr="00591BD8">
              <w:rPr>
                <w:rFonts w:ascii="Times New Roman" w:hAnsi="Times New Roman"/>
                <w:sz w:val="20"/>
                <w:szCs w:val="20"/>
              </w:rPr>
              <w:t>Indicators</w:t>
            </w:r>
          </w:p>
        </w:tc>
        <w:tc>
          <w:tcPr>
            <w:tcW w:w="877" w:type="pct"/>
            <w:tcBorders>
              <w:top w:val="single" w:sz="4" w:space="0" w:color="auto"/>
              <w:bottom w:val="single" w:sz="4" w:space="0" w:color="auto"/>
            </w:tcBorders>
          </w:tcPr>
          <w:p w14:paraId="1344C15E" w14:textId="77777777" w:rsidR="00FA39F0" w:rsidRPr="00591BD8" w:rsidRDefault="00FA39F0" w:rsidP="00FA39F0">
            <w:pPr>
              <w:spacing w:after="0"/>
              <w:jc w:val="both"/>
              <w:rPr>
                <w:rFonts w:ascii="Times New Roman" w:hAnsi="Times New Roman"/>
                <w:sz w:val="20"/>
                <w:szCs w:val="20"/>
                <w:lang w:val="en-ID"/>
              </w:rPr>
            </w:pPr>
            <w:r w:rsidRPr="00591BD8">
              <w:rPr>
                <w:rFonts w:ascii="Times New Roman" w:hAnsi="Times New Roman"/>
                <w:sz w:val="20"/>
                <w:szCs w:val="20"/>
              </w:rPr>
              <w:t>Total articles</w:t>
            </w:r>
          </w:p>
        </w:tc>
      </w:tr>
      <w:tr w:rsidR="00FA39F0" w:rsidRPr="00591BD8" w14:paraId="02C5AACB" w14:textId="77777777" w:rsidTr="000475D4">
        <w:trPr>
          <w:trHeight w:val="20"/>
          <w:jc w:val="center"/>
        </w:trPr>
        <w:tc>
          <w:tcPr>
            <w:tcW w:w="1132" w:type="pct"/>
            <w:vMerge w:val="restart"/>
            <w:tcBorders>
              <w:top w:val="single" w:sz="4" w:space="0" w:color="auto"/>
            </w:tcBorders>
          </w:tcPr>
          <w:p w14:paraId="521CC38D" w14:textId="77777777" w:rsidR="00FA39F0" w:rsidRPr="00591BD8" w:rsidRDefault="00FA39F0" w:rsidP="00FA39F0">
            <w:pPr>
              <w:spacing w:after="0"/>
              <w:jc w:val="both"/>
              <w:rPr>
                <w:rFonts w:ascii="Times New Roman" w:hAnsi="Times New Roman"/>
                <w:sz w:val="20"/>
                <w:szCs w:val="20"/>
                <w:lang w:val="en-ID"/>
              </w:rPr>
            </w:pPr>
            <w:r w:rsidRPr="00591BD8">
              <w:rPr>
                <w:rFonts w:ascii="Times New Roman" w:hAnsi="Times New Roman"/>
                <w:sz w:val="20"/>
                <w:szCs w:val="20"/>
              </w:rPr>
              <w:t>Response to the student</w:t>
            </w:r>
          </w:p>
        </w:tc>
        <w:tc>
          <w:tcPr>
            <w:tcW w:w="2991" w:type="pct"/>
            <w:tcBorders>
              <w:top w:val="single" w:sz="4" w:space="0" w:color="auto"/>
            </w:tcBorders>
          </w:tcPr>
          <w:p w14:paraId="3486E5B2" w14:textId="77777777" w:rsidR="00FA39F0" w:rsidRPr="00591BD8" w:rsidRDefault="00FA39F0" w:rsidP="00FA39F0">
            <w:pPr>
              <w:spacing w:after="0"/>
              <w:jc w:val="both"/>
              <w:rPr>
                <w:rFonts w:ascii="Times New Roman" w:hAnsi="Times New Roman"/>
                <w:sz w:val="20"/>
                <w:szCs w:val="20"/>
              </w:rPr>
            </w:pPr>
            <w:r w:rsidRPr="00591BD8">
              <w:rPr>
                <w:rFonts w:ascii="Times New Roman" w:hAnsi="Times New Roman"/>
                <w:sz w:val="20"/>
                <w:szCs w:val="20"/>
              </w:rPr>
              <w:t>Respuesta</w:t>
            </w:r>
          </w:p>
        </w:tc>
        <w:tc>
          <w:tcPr>
            <w:tcW w:w="877" w:type="pct"/>
            <w:tcBorders>
              <w:top w:val="single" w:sz="4" w:space="0" w:color="auto"/>
            </w:tcBorders>
          </w:tcPr>
          <w:p w14:paraId="36269F9A" w14:textId="77777777" w:rsidR="00FA39F0" w:rsidRPr="00591BD8" w:rsidRDefault="00FA39F0" w:rsidP="00FA39F0">
            <w:pPr>
              <w:spacing w:after="0"/>
              <w:jc w:val="both"/>
              <w:rPr>
                <w:rFonts w:ascii="Times New Roman" w:hAnsi="Times New Roman"/>
                <w:sz w:val="20"/>
                <w:szCs w:val="20"/>
              </w:rPr>
            </w:pPr>
            <w:r w:rsidRPr="00591BD8">
              <w:rPr>
                <w:rFonts w:ascii="Times New Roman" w:hAnsi="Times New Roman"/>
                <w:sz w:val="20"/>
                <w:szCs w:val="20"/>
              </w:rPr>
              <w:t>1,2,3 ,4</w:t>
            </w:r>
          </w:p>
        </w:tc>
      </w:tr>
      <w:tr w:rsidR="00FA39F0" w:rsidRPr="00591BD8" w14:paraId="34A9AC93" w14:textId="77777777" w:rsidTr="000475D4">
        <w:trPr>
          <w:trHeight w:val="20"/>
          <w:jc w:val="center"/>
        </w:trPr>
        <w:tc>
          <w:tcPr>
            <w:tcW w:w="1132" w:type="pct"/>
            <w:vMerge/>
          </w:tcPr>
          <w:p w14:paraId="7435EB09" w14:textId="77777777" w:rsidR="00FA39F0" w:rsidRPr="00591BD8" w:rsidRDefault="00FA39F0" w:rsidP="00FA39F0">
            <w:pPr>
              <w:spacing w:after="0"/>
              <w:jc w:val="both"/>
              <w:rPr>
                <w:rFonts w:ascii="Times New Roman" w:hAnsi="Times New Roman"/>
                <w:sz w:val="20"/>
                <w:szCs w:val="20"/>
                <w:lang w:val="en-ID"/>
              </w:rPr>
            </w:pPr>
          </w:p>
        </w:tc>
        <w:tc>
          <w:tcPr>
            <w:tcW w:w="2991" w:type="pct"/>
          </w:tcPr>
          <w:p w14:paraId="5386A870" w14:textId="77777777" w:rsidR="00FA39F0" w:rsidRPr="00591BD8" w:rsidRDefault="00FA39F0" w:rsidP="00FA39F0">
            <w:pPr>
              <w:spacing w:after="0"/>
              <w:jc w:val="both"/>
              <w:rPr>
                <w:rFonts w:ascii="Times New Roman" w:hAnsi="Times New Roman"/>
                <w:sz w:val="20"/>
                <w:szCs w:val="20"/>
              </w:rPr>
            </w:pPr>
            <w:r w:rsidRPr="00591BD8">
              <w:rPr>
                <w:rFonts w:ascii="Times New Roman" w:hAnsi="Times New Roman"/>
                <w:sz w:val="20"/>
                <w:szCs w:val="20"/>
              </w:rPr>
              <w:t>Relevance</w:t>
            </w:r>
          </w:p>
        </w:tc>
        <w:tc>
          <w:tcPr>
            <w:tcW w:w="877" w:type="pct"/>
          </w:tcPr>
          <w:p w14:paraId="6FF8BE4E" w14:textId="77777777" w:rsidR="00FA39F0" w:rsidRPr="00591BD8" w:rsidRDefault="00FA39F0" w:rsidP="00FA39F0">
            <w:pPr>
              <w:spacing w:after="0"/>
              <w:jc w:val="both"/>
              <w:rPr>
                <w:rFonts w:ascii="Times New Roman" w:hAnsi="Times New Roman"/>
                <w:sz w:val="20"/>
                <w:szCs w:val="20"/>
              </w:rPr>
            </w:pPr>
            <w:r w:rsidRPr="00591BD8">
              <w:rPr>
                <w:rFonts w:ascii="Times New Roman" w:hAnsi="Times New Roman"/>
                <w:sz w:val="20"/>
                <w:szCs w:val="20"/>
              </w:rPr>
              <w:t>5,6,7,8,9</w:t>
            </w:r>
          </w:p>
        </w:tc>
      </w:tr>
      <w:tr w:rsidR="00FA39F0" w:rsidRPr="00591BD8" w14:paraId="02A25770" w14:textId="77777777" w:rsidTr="000475D4">
        <w:trPr>
          <w:trHeight w:val="20"/>
          <w:jc w:val="center"/>
        </w:trPr>
        <w:tc>
          <w:tcPr>
            <w:tcW w:w="1132" w:type="pct"/>
            <w:vMerge/>
          </w:tcPr>
          <w:p w14:paraId="6C4E4F27" w14:textId="77777777" w:rsidR="00FA39F0" w:rsidRPr="00591BD8" w:rsidRDefault="00FA39F0" w:rsidP="00FA39F0">
            <w:pPr>
              <w:spacing w:after="0"/>
              <w:jc w:val="both"/>
              <w:rPr>
                <w:rFonts w:ascii="Times New Roman" w:hAnsi="Times New Roman"/>
                <w:sz w:val="20"/>
                <w:szCs w:val="20"/>
                <w:lang w:val="en-ID"/>
              </w:rPr>
            </w:pPr>
          </w:p>
        </w:tc>
        <w:tc>
          <w:tcPr>
            <w:tcW w:w="2991" w:type="pct"/>
          </w:tcPr>
          <w:p w14:paraId="133F7D83" w14:textId="77777777" w:rsidR="00FA39F0" w:rsidRPr="00591BD8" w:rsidRDefault="00FA39F0" w:rsidP="00FA39F0">
            <w:pPr>
              <w:spacing w:after="0"/>
              <w:jc w:val="both"/>
              <w:rPr>
                <w:rFonts w:ascii="Times New Roman" w:hAnsi="Times New Roman"/>
                <w:sz w:val="20"/>
                <w:szCs w:val="20"/>
              </w:rPr>
            </w:pPr>
            <w:proofErr w:type="spellStart"/>
            <w:r w:rsidRPr="00591BD8">
              <w:rPr>
                <w:rFonts w:ascii="Times New Roman" w:hAnsi="Times New Roman"/>
                <w:sz w:val="20"/>
                <w:szCs w:val="20"/>
              </w:rPr>
              <w:t>Atención</w:t>
            </w:r>
            <w:proofErr w:type="spellEnd"/>
          </w:p>
        </w:tc>
        <w:tc>
          <w:tcPr>
            <w:tcW w:w="877" w:type="pct"/>
          </w:tcPr>
          <w:p w14:paraId="05BEC543" w14:textId="77777777" w:rsidR="00FA39F0" w:rsidRPr="00591BD8" w:rsidRDefault="00FA39F0" w:rsidP="00FA39F0">
            <w:pPr>
              <w:spacing w:after="0"/>
              <w:jc w:val="both"/>
              <w:rPr>
                <w:rFonts w:ascii="Times New Roman" w:hAnsi="Times New Roman"/>
                <w:sz w:val="20"/>
                <w:szCs w:val="20"/>
              </w:rPr>
            </w:pPr>
            <w:r w:rsidRPr="00591BD8">
              <w:rPr>
                <w:rFonts w:ascii="Times New Roman" w:hAnsi="Times New Roman"/>
                <w:sz w:val="20"/>
                <w:szCs w:val="20"/>
              </w:rPr>
              <w:t>10,11,12,13</w:t>
            </w:r>
          </w:p>
        </w:tc>
      </w:tr>
      <w:tr w:rsidR="00FA39F0" w:rsidRPr="00591BD8" w14:paraId="6CDFF60E" w14:textId="77777777" w:rsidTr="000475D4">
        <w:trPr>
          <w:trHeight w:val="80"/>
          <w:jc w:val="center"/>
        </w:trPr>
        <w:tc>
          <w:tcPr>
            <w:tcW w:w="1132" w:type="pct"/>
            <w:vMerge/>
          </w:tcPr>
          <w:p w14:paraId="29010ABA" w14:textId="77777777" w:rsidR="00FA39F0" w:rsidRPr="00591BD8" w:rsidRDefault="00FA39F0" w:rsidP="00FA39F0">
            <w:pPr>
              <w:spacing w:after="0"/>
              <w:jc w:val="both"/>
              <w:rPr>
                <w:rFonts w:ascii="Times New Roman" w:hAnsi="Times New Roman"/>
                <w:sz w:val="20"/>
                <w:szCs w:val="20"/>
                <w:lang w:val="en-ID"/>
              </w:rPr>
            </w:pPr>
          </w:p>
        </w:tc>
        <w:tc>
          <w:tcPr>
            <w:tcW w:w="2991" w:type="pct"/>
          </w:tcPr>
          <w:p w14:paraId="28054D67" w14:textId="77777777" w:rsidR="00FA39F0" w:rsidRPr="00591BD8" w:rsidRDefault="00FA39F0" w:rsidP="00FA39F0">
            <w:pPr>
              <w:spacing w:after="0"/>
              <w:jc w:val="both"/>
              <w:rPr>
                <w:rFonts w:ascii="Times New Roman" w:hAnsi="Times New Roman"/>
                <w:sz w:val="20"/>
                <w:szCs w:val="20"/>
              </w:rPr>
            </w:pPr>
            <w:r w:rsidRPr="00591BD8">
              <w:rPr>
                <w:rFonts w:ascii="Times New Roman" w:hAnsi="Times New Roman"/>
                <w:sz w:val="20"/>
                <w:szCs w:val="20"/>
              </w:rPr>
              <w:t>Satisfaction</w:t>
            </w:r>
          </w:p>
        </w:tc>
        <w:tc>
          <w:tcPr>
            <w:tcW w:w="877" w:type="pct"/>
          </w:tcPr>
          <w:p w14:paraId="6E772C00" w14:textId="77777777" w:rsidR="00FA39F0" w:rsidRPr="00591BD8" w:rsidRDefault="00FA39F0" w:rsidP="00FA39F0">
            <w:pPr>
              <w:spacing w:after="0"/>
              <w:jc w:val="both"/>
              <w:rPr>
                <w:rFonts w:ascii="Times New Roman" w:hAnsi="Times New Roman"/>
                <w:sz w:val="20"/>
                <w:szCs w:val="20"/>
              </w:rPr>
            </w:pPr>
            <w:r w:rsidRPr="00591BD8">
              <w:rPr>
                <w:rFonts w:ascii="Times New Roman" w:hAnsi="Times New Roman"/>
                <w:sz w:val="20"/>
                <w:szCs w:val="20"/>
              </w:rPr>
              <w:t>14,15,16,17</w:t>
            </w:r>
          </w:p>
        </w:tc>
      </w:tr>
      <w:tr w:rsidR="00FA39F0" w:rsidRPr="00591BD8" w14:paraId="7437DEFC" w14:textId="77777777" w:rsidTr="000475D4">
        <w:trPr>
          <w:trHeight w:val="80"/>
          <w:jc w:val="center"/>
        </w:trPr>
        <w:tc>
          <w:tcPr>
            <w:tcW w:w="1132" w:type="pct"/>
            <w:vMerge/>
          </w:tcPr>
          <w:p w14:paraId="66EF733D" w14:textId="77777777" w:rsidR="00FA39F0" w:rsidRPr="00591BD8" w:rsidRDefault="00FA39F0" w:rsidP="00FA39F0">
            <w:pPr>
              <w:spacing w:after="0"/>
              <w:jc w:val="both"/>
              <w:rPr>
                <w:rFonts w:ascii="Times New Roman" w:hAnsi="Times New Roman"/>
                <w:sz w:val="20"/>
                <w:szCs w:val="20"/>
                <w:lang w:val="en-ID"/>
              </w:rPr>
            </w:pPr>
          </w:p>
        </w:tc>
        <w:tc>
          <w:tcPr>
            <w:tcW w:w="2991" w:type="pct"/>
          </w:tcPr>
          <w:p w14:paraId="0B24EA9E" w14:textId="77777777" w:rsidR="00FA39F0" w:rsidRPr="00591BD8" w:rsidRDefault="00FA39F0" w:rsidP="00FA39F0">
            <w:pPr>
              <w:spacing w:after="0"/>
              <w:jc w:val="both"/>
              <w:rPr>
                <w:rFonts w:ascii="Times New Roman" w:hAnsi="Times New Roman"/>
                <w:sz w:val="20"/>
                <w:szCs w:val="20"/>
              </w:rPr>
            </w:pPr>
            <w:proofErr w:type="gramStart"/>
            <w:r w:rsidRPr="00591BD8">
              <w:rPr>
                <w:rFonts w:ascii="Times New Roman" w:hAnsi="Times New Roman"/>
                <w:sz w:val="20"/>
                <w:szCs w:val="20"/>
              </w:rPr>
              <w:t>sure</w:t>
            </w:r>
            <w:proofErr w:type="gramEnd"/>
            <w:r w:rsidRPr="00591BD8">
              <w:rPr>
                <w:rFonts w:ascii="Times New Roman" w:hAnsi="Times New Roman"/>
                <w:sz w:val="20"/>
                <w:szCs w:val="20"/>
              </w:rPr>
              <w:t xml:space="preserve"> of itself</w:t>
            </w:r>
          </w:p>
        </w:tc>
        <w:tc>
          <w:tcPr>
            <w:tcW w:w="877" w:type="pct"/>
          </w:tcPr>
          <w:p w14:paraId="224961C1" w14:textId="77777777" w:rsidR="00FA39F0" w:rsidRPr="00591BD8" w:rsidRDefault="00FA39F0" w:rsidP="00FA39F0">
            <w:pPr>
              <w:spacing w:after="0"/>
              <w:jc w:val="both"/>
              <w:rPr>
                <w:rFonts w:ascii="Times New Roman" w:hAnsi="Times New Roman"/>
                <w:sz w:val="20"/>
                <w:szCs w:val="20"/>
              </w:rPr>
            </w:pPr>
            <w:r w:rsidRPr="00591BD8">
              <w:rPr>
                <w:rFonts w:ascii="Times New Roman" w:hAnsi="Times New Roman"/>
                <w:sz w:val="20"/>
                <w:szCs w:val="20"/>
              </w:rPr>
              <w:t>18,19,20,21</w:t>
            </w:r>
          </w:p>
        </w:tc>
      </w:tr>
      <w:tr w:rsidR="00FA39F0" w:rsidRPr="00591BD8" w14:paraId="0D9F48C8" w14:textId="77777777" w:rsidTr="000475D4">
        <w:trPr>
          <w:trHeight w:val="20"/>
          <w:jc w:val="center"/>
        </w:trPr>
        <w:tc>
          <w:tcPr>
            <w:tcW w:w="4123" w:type="pct"/>
            <w:gridSpan w:val="2"/>
            <w:vAlign w:val="center"/>
          </w:tcPr>
          <w:p w14:paraId="1E725A64" w14:textId="77777777" w:rsidR="00FA39F0" w:rsidRPr="00591BD8" w:rsidRDefault="00FA39F0" w:rsidP="00FA39F0">
            <w:pPr>
              <w:spacing w:after="0"/>
              <w:jc w:val="center"/>
              <w:rPr>
                <w:rFonts w:ascii="Times New Roman" w:hAnsi="Times New Roman"/>
                <w:sz w:val="20"/>
                <w:szCs w:val="20"/>
              </w:rPr>
            </w:pPr>
            <w:r w:rsidRPr="00591BD8">
              <w:rPr>
                <w:rFonts w:ascii="Times New Roman" w:hAnsi="Times New Roman"/>
                <w:sz w:val="20"/>
                <w:szCs w:val="20"/>
              </w:rPr>
              <w:t>Total</w:t>
            </w:r>
          </w:p>
        </w:tc>
        <w:tc>
          <w:tcPr>
            <w:tcW w:w="877" w:type="pct"/>
          </w:tcPr>
          <w:p w14:paraId="24027716" w14:textId="77777777" w:rsidR="00FA39F0" w:rsidRPr="00591BD8" w:rsidRDefault="00FA39F0" w:rsidP="00FA39F0">
            <w:pPr>
              <w:spacing w:after="0"/>
              <w:jc w:val="both"/>
              <w:rPr>
                <w:rFonts w:ascii="Times New Roman" w:hAnsi="Times New Roman"/>
                <w:sz w:val="20"/>
                <w:szCs w:val="20"/>
              </w:rPr>
            </w:pPr>
            <w:r w:rsidRPr="00591BD8">
              <w:rPr>
                <w:rFonts w:ascii="Times New Roman" w:hAnsi="Times New Roman"/>
                <w:sz w:val="20"/>
                <w:szCs w:val="20"/>
              </w:rPr>
              <w:t>21</w:t>
            </w:r>
          </w:p>
        </w:tc>
      </w:tr>
    </w:tbl>
    <w:p w14:paraId="32437D0B" w14:textId="77777777" w:rsidR="00FA39F0" w:rsidRPr="00591BD8" w:rsidRDefault="00FA39F0" w:rsidP="00FA39F0">
      <w:pPr>
        <w:pStyle w:val="E-JournalHeading2"/>
        <w:rPr>
          <w:lang w:val="id-ID"/>
        </w:rPr>
      </w:pPr>
      <w:r w:rsidRPr="00591BD8">
        <w:t xml:space="preserve">After explaining the grill of instruments of indicators of cognitive psychology of students, measurements were carried out through descriptive statistical tests. </w:t>
      </w:r>
      <w:proofErr w:type="spellStart"/>
      <w:r w:rsidRPr="00591BD8">
        <w:t>Categoría</w:t>
      </w:r>
      <w:proofErr w:type="spellEnd"/>
      <w:r w:rsidRPr="00591BD8">
        <w:t xml:space="preserve"> de </w:t>
      </w:r>
      <w:proofErr w:type="spellStart"/>
      <w:r w:rsidRPr="00591BD8">
        <w:t>psicología</w:t>
      </w:r>
      <w:proofErr w:type="spellEnd"/>
      <w:r w:rsidRPr="00591BD8">
        <w:t xml:space="preserve"> </w:t>
      </w:r>
      <w:proofErr w:type="spellStart"/>
      <w:r w:rsidRPr="00591BD8">
        <w:t>cognitiva</w:t>
      </w:r>
      <w:proofErr w:type="spellEnd"/>
      <w:r w:rsidRPr="00591BD8">
        <w:t xml:space="preserve"> </w:t>
      </w:r>
      <w:proofErr w:type="spellStart"/>
      <w:r w:rsidRPr="00591BD8">
        <w:t>estudiantil</w:t>
      </w:r>
      <w:proofErr w:type="spellEnd"/>
      <w:r w:rsidRPr="00591BD8">
        <w:t>.</w:t>
      </w:r>
    </w:p>
    <w:p w14:paraId="5AC5193F" w14:textId="6220EC21" w:rsidR="00FA39F0" w:rsidRPr="00591BD8" w:rsidRDefault="00FA39F0" w:rsidP="00A55776">
      <w:pPr>
        <w:pStyle w:val="E-JournalHeading2"/>
        <w:jc w:val="center"/>
        <w:rPr>
          <w:sz w:val="20"/>
          <w:szCs w:val="20"/>
          <w:lang w:val="id-ID"/>
        </w:rPr>
      </w:pPr>
      <w:r w:rsidRPr="00591BD8">
        <w:rPr>
          <w:sz w:val="20"/>
          <w:szCs w:val="20"/>
        </w:rPr>
        <w:t xml:space="preserve">Table 4. </w:t>
      </w:r>
      <w:proofErr w:type="spellStart"/>
      <w:r w:rsidRPr="00591BD8">
        <w:rPr>
          <w:sz w:val="20"/>
          <w:szCs w:val="20"/>
        </w:rPr>
        <w:t>Categorías</w:t>
      </w:r>
      <w:proofErr w:type="spellEnd"/>
      <w:r w:rsidRPr="00591BD8">
        <w:rPr>
          <w:sz w:val="20"/>
          <w:szCs w:val="20"/>
        </w:rPr>
        <w:t xml:space="preserve"> de </w:t>
      </w:r>
      <w:proofErr w:type="spellStart"/>
      <w:r w:rsidRPr="00591BD8">
        <w:rPr>
          <w:sz w:val="20"/>
          <w:szCs w:val="20"/>
        </w:rPr>
        <w:t>psicología</w:t>
      </w:r>
      <w:proofErr w:type="spellEnd"/>
      <w:r w:rsidRPr="00591BD8">
        <w:rPr>
          <w:sz w:val="20"/>
          <w:szCs w:val="20"/>
        </w:rPr>
        <w:t xml:space="preserve"> </w:t>
      </w:r>
      <w:proofErr w:type="spellStart"/>
      <w:r w:rsidRPr="00591BD8">
        <w:rPr>
          <w:sz w:val="20"/>
          <w:szCs w:val="20"/>
        </w:rPr>
        <w:t>cognitiva</w:t>
      </w:r>
      <w:proofErr w:type="spellEnd"/>
      <w:r w:rsidRPr="00591BD8">
        <w:rPr>
          <w:sz w:val="20"/>
          <w:szCs w:val="20"/>
        </w:rPr>
        <w:t xml:space="preserve"> de </w:t>
      </w:r>
      <w:proofErr w:type="spellStart"/>
      <w:r w:rsidRPr="00591BD8">
        <w:rPr>
          <w:sz w:val="20"/>
          <w:szCs w:val="20"/>
        </w:rPr>
        <w:t>los</w:t>
      </w:r>
      <w:proofErr w:type="spellEnd"/>
      <w:r w:rsidRPr="00591BD8">
        <w:rPr>
          <w:sz w:val="20"/>
          <w:szCs w:val="20"/>
        </w:rPr>
        <w:t xml:space="preserve"> </w:t>
      </w:r>
      <w:proofErr w:type="spellStart"/>
      <w:r w:rsidRPr="00591BD8">
        <w:rPr>
          <w:sz w:val="20"/>
          <w:szCs w:val="20"/>
        </w:rPr>
        <w:t>estudiantes</w:t>
      </w:r>
      <w:proofErr w:type="spellEnd"/>
    </w:p>
    <w:tbl>
      <w:tblPr>
        <w:tblW w:w="0" w:type="auto"/>
        <w:jc w:val="center"/>
        <w:tblLook w:val="04A0" w:firstRow="1" w:lastRow="0" w:firstColumn="1" w:lastColumn="0" w:noHBand="0" w:noVBand="1"/>
      </w:tblPr>
      <w:tblGrid>
        <w:gridCol w:w="1383"/>
        <w:gridCol w:w="1942"/>
        <w:gridCol w:w="2250"/>
        <w:gridCol w:w="1917"/>
      </w:tblGrid>
      <w:tr w:rsidR="00FA39F0" w:rsidRPr="00591BD8" w14:paraId="6F2CDE88" w14:textId="77777777" w:rsidTr="000475D4">
        <w:trPr>
          <w:trHeight w:val="20"/>
          <w:jc w:val="center"/>
        </w:trPr>
        <w:tc>
          <w:tcPr>
            <w:tcW w:w="0" w:type="auto"/>
            <w:vMerge w:val="restart"/>
            <w:tcBorders>
              <w:top w:val="single" w:sz="4" w:space="0" w:color="auto"/>
            </w:tcBorders>
            <w:shd w:val="clear" w:color="auto" w:fill="auto"/>
          </w:tcPr>
          <w:p w14:paraId="0D36C26C"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Categories</w:t>
            </w:r>
          </w:p>
          <w:p w14:paraId="08CD5299" w14:textId="77777777" w:rsidR="00FA39F0" w:rsidRPr="00591BD8" w:rsidRDefault="00FA39F0" w:rsidP="00FA39F0">
            <w:pPr>
              <w:spacing w:after="100" w:afterAutospacing="1"/>
              <w:jc w:val="both"/>
              <w:rPr>
                <w:rFonts w:ascii="Times New Roman" w:hAnsi="Times New Roman"/>
                <w:sz w:val="20"/>
                <w:szCs w:val="20"/>
              </w:rPr>
            </w:pPr>
          </w:p>
        </w:tc>
        <w:tc>
          <w:tcPr>
            <w:tcW w:w="6109" w:type="dxa"/>
            <w:gridSpan w:val="3"/>
            <w:tcBorders>
              <w:top w:val="single" w:sz="4" w:space="0" w:color="auto"/>
            </w:tcBorders>
          </w:tcPr>
          <w:p w14:paraId="47E6753F" w14:textId="77777777" w:rsidR="00FA39F0" w:rsidRPr="00591BD8" w:rsidRDefault="00FA39F0" w:rsidP="00FA39F0">
            <w:pPr>
              <w:spacing w:after="100" w:afterAutospacing="1"/>
              <w:jc w:val="center"/>
              <w:rPr>
                <w:rFonts w:ascii="Times New Roman" w:hAnsi="Times New Roman"/>
                <w:sz w:val="20"/>
                <w:szCs w:val="20"/>
              </w:rPr>
            </w:pPr>
            <w:r w:rsidRPr="00591BD8">
              <w:rPr>
                <w:rFonts w:ascii="Times New Roman" w:hAnsi="Times New Roman"/>
                <w:sz w:val="20"/>
                <w:szCs w:val="20"/>
              </w:rPr>
              <w:t>Range of variables</w:t>
            </w:r>
          </w:p>
        </w:tc>
      </w:tr>
      <w:tr w:rsidR="00FA39F0" w:rsidRPr="00591BD8" w14:paraId="616D11EB" w14:textId="77777777" w:rsidTr="000475D4">
        <w:trPr>
          <w:trHeight w:val="20"/>
          <w:jc w:val="center"/>
        </w:trPr>
        <w:tc>
          <w:tcPr>
            <w:tcW w:w="0" w:type="auto"/>
            <w:vMerge/>
            <w:tcBorders>
              <w:bottom w:val="single" w:sz="4" w:space="0" w:color="auto"/>
            </w:tcBorders>
            <w:shd w:val="clear" w:color="auto" w:fill="auto"/>
          </w:tcPr>
          <w:p w14:paraId="2761EFC8" w14:textId="77777777" w:rsidR="00FA39F0" w:rsidRPr="00591BD8" w:rsidRDefault="00FA39F0" w:rsidP="00FA39F0">
            <w:pPr>
              <w:spacing w:after="100" w:afterAutospacing="1"/>
              <w:jc w:val="both"/>
              <w:rPr>
                <w:rFonts w:ascii="Times New Roman" w:hAnsi="Times New Roman"/>
                <w:sz w:val="20"/>
                <w:szCs w:val="20"/>
              </w:rPr>
            </w:pPr>
          </w:p>
        </w:tc>
        <w:tc>
          <w:tcPr>
            <w:tcW w:w="1942" w:type="dxa"/>
            <w:tcBorders>
              <w:top w:val="single" w:sz="4" w:space="0" w:color="auto"/>
              <w:bottom w:val="single" w:sz="4" w:space="0" w:color="auto"/>
            </w:tcBorders>
          </w:tcPr>
          <w:p w14:paraId="7338A68B" w14:textId="77777777" w:rsidR="00FA39F0" w:rsidRPr="00591BD8" w:rsidRDefault="00FA39F0" w:rsidP="00FA39F0">
            <w:pPr>
              <w:spacing w:after="100" w:afterAutospacing="1"/>
              <w:jc w:val="both"/>
              <w:rPr>
                <w:rFonts w:ascii="Times New Roman" w:hAnsi="Times New Roman"/>
                <w:sz w:val="20"/>
                <w:szCs w:val="20"/>
                <w:lang w:val="en-GB"/>
              </w:rPr>
            </w:pPr>
            <w:r w:rsidRPr="00591BD8">
              <w:rPr>
                <w:rFonts w:ascii="Times New Roman" w:hAnsi="Times New Roman"/>
                <w:sz w:val="20"/>
                <w:szCs w:val="20"/>
              </w:rPr>
              <w:t>Generic skills of the student</w:t>
            </w:r>
          </w:p>
        </w:tc>
        <w:tc>
          <w:tcPr>
            <w:tcW w:w="2250" w:type="dxa"/>
            <w:tcBorders>
              <w:top w:val="single" w:sz="4" w:space="0" w:color="auto"/>
              <w:bottom w:val="single" w:sz="4" w:space="0" w:color="auto"/>
            </w:tcBorders>
          </w:tcPr>
          <w:p w14:paraId="5F5A08FF"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Mathematical process skills.</w:t>
            </w:r>
          </w:p>
        </w:tc>
        <w:tc>
          <w:tcPr>
            <w:tcW w:w="1917" w:type="dxa"/>
            <w:tcBorders>
              <w:top w:val="single" w:sz="4" w:space="0" w:color="auto"/>
              <w:bottom w:val="single" w:sz="4" w:space="0" w:color="auto"/>
            </w:tcBorders>
          </w:tcPr>
          <w:p w14:paraId="1C180B0F" w14:textId="77777777" w:rsidR="00FA39F0" w:rsidRPr="00591BD8" w:rsidRDefault="00FA39F0" w:rsidP="00FA39F0">
            <w:pPr>
              <w:spacing w:after="100" w:afterAutospacing="1"/>
              <w:jc w:val="both"/>
              <w:rPr>
                <w:rFonts w:ascii="Times New Roman" w:hAnsi="Times New Roman"/>
                <w:sz w:val="20"/>
                <w:szCs w:val="20"/>
              </w:rPr>
            </w:pPr>
            <w:proofErr w:type="spellStart"/>
            <w:r w:rsidRPr="00591BD8">
              <w:rPr>
                <w:rFonts w:ascii="Times New Roman" w:hAnsi="Times New Roman"/>
                <w:sz w:val="20"/>
                <w:szCs w:val="20"/>
              </w:rPr>
              <w:t>Estudiantes</w:t>
            </w:r>
            <w:proofErr w:type="spellEnd"/>
            <w:r w:rsidRPr="00591BD8">
              <w:rPr>
                <w:rFonts w:ascii="Times New Roman" w:hAnsi="Times New Roman"/>
                <w:sz w:val="20"/>
                <w:szCs w:val="20"/>
              </w:rPr>
              <w:t xml:space="preserve"> </w:t>
            </w:r>
            <w:proofErr w:type="spellStart"/>
            <w:r w:rsidRPr="00591BD8">
              <w:rPr>
                <w:rFonts w:ascii="Times New Roman" w:hAnsi="Times New Roman"/>
                <w:sz w:val="20"/>
                <w:szCs w:val="20"/>
              </w:rPr>
              <w:t>encuestado</w:t>
            </w:r>
            <w:proofErr w:type="spellEnd"/>
          </w:p>
        </w:tc>
      </w:tr>
      <w:tr w:rsidR="00FA39F0" w:rsidRPr="00591BD8" w14:paraId="6F899276" w14:textId="77777777" w:rsidTr="000475D4">
        <w:trPr>
          <w:trHeight w:val="243"/>
          <w:jc w:val="center"/>
        </w:trPr>
        <w:tc>
          <w:tcPr>
            <w:tcW w:w="0" w:type="auto"/>
            <w:tcBorders>
              <w:top w:val="single" w:sz="4" w:space="0" w:color="auto"/>
            </w:tcBorders>
            <w:shd w:val="clear" w:color="auto" w:fill="auto"/>
          </w:tcPr>
          <w:p w14:paraId="30554B8C"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Muy no bueno</w:t>
            </w:r>
          </w:p>
        </w:tc>
        <w:tc>
          <w:tcPr>
            <w:tcW w:w="1942" w:type="dxa"/>
            <w:tcBorders>
              <w:top w:val="single" w:sz="4" w:space="0" w:color="auto"/>
            </w:tcBorders>
          </w:tcPr>
          <w:p w14:paraId="53401845"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36.0 – 63.0</w:t>
            </w:r>
          </w:p>
        </w:tc>
        <w:tc>
          <w:tcPr>
            <w:tcW w:w="2250" w:type="dxa"/>
            <w:tcBorders>
              <w:top w:val="single" w:sz="4" w:space="0" w:color="auto"/>
            </w:tcBorders>
          </w:tcPr>
          <w:p w14:paraId="5CEFE3CF"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10.0-17.5</w:t>
            </w:r>
          </w:p>
        </w:tc>
        <w:tc>
          <w:tcPr>
            <w:tcW w:w="1917" w:type="dxa"/>
            <w:tcBorders>
              <w:top w:val="single" w:sz="4" w:space="0" w:color="auto"/>
            </w:tcBorders>
          </w:tcPr>
          <w:p w14:paraId="7A0366BE"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21.0-36.75</w:t>
            </w:r>
          </w:p>
        </w:tc>
      </w:tr>
      <w:tr w:rsidR="00FA39F0" w:rsidRPr="00591BD8" w14:paraId="38411950" w14:textId="77777777" w:rsidTr="000475D4">
        <w:trPr>
          <w:trHeight w:val="20"/>
          <w:jc w:val="center"/>
        </w:trPr>
        <w:tc>
          <w:tcPr>
            <w:tcW w:w="0" w:type="auto"/>
            <w:shd w:val="clear" w:color="auto" w:fill="auto"/>
          </w:tcPr>
          <w:p w14:paraId="0BC4BA6C"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No es bueno</w:t>
            </w:r>
          </w:p>
        </w:tc>
        <w:tc>
          <w:tcPr>
            <w:tcW w:w="1942" w:type="dxa"/>
          </w:tcPr>
          <w:p w14:paraId="153076F6"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63.1 – 90.0</w:t>
            </w:r>
          </w:p>
        </w:tc>
        <w:tc>
          <w:tcPr>
            <w:tcW w:w="2250" w:type="dxa"/>
          </w:tcPr>
          <w:p w14:paraId="7F5077E8"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17.6-25.0</w:t>
            </w:r>
          </w:p>
        </w:tc>
        <w:tc>
          <w:tcPr>
            <w:tcW w:w="1917" w:type="dxa"/>
          </w:tcPr>
          <w:p w14:paraId="4D14F67E"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36.85-52.75</w:t>
            </w:r>
          </w:p>
        </w:tc>
      </w:tr>
      <w:tr w:rsidR="00FA39F0" w:rsidRPr="00591BD8" w14:paraId="648CEBBA" w14:textId="77777777" w:rsidTr="000475D4">
        <w:trPr>
          <w:trHeight w:val="20"/>
          <w:jc w:val="center"/>
        </w:trPr>
        <w:tc>
          <w:tcPr>
            <w:tcW w:w="0" w:type="auto"/>
            <w:shd w:val="clear" w:color="auto" w:fill="auto"/>
          </w:tcPr>
          <w:p w14:paraId="3474EE3A"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Bien</w:t>
            </w:r>
          </w:p>
        </w:tc>
        <w:tc>
          <w:tcPr>
            <w:tcW w:w="1942" w:type="dxa"/>
          </w:tcPr>
          <w:p w14:paraId="04E3EA96"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90.1 – 117.0</w:t>
            </w:r>
          </w:p>
        </w:tc>
        <w:tc>
          <w:tcPr>
            <w:tcW w:w="2250" w:type="dxa"/>
          </w:tcPr>
          <w:p w14:paraId="36AB22DB"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25.1-32.5</w:t>
            </w:r>
          </w:p>
        </w:tc>
        <w:tc>
          <w:tcPr>
            <w:tcW w:w="1917" w:type="dxa"/>
          </w:tcPr>
          <w:p w14:paraId="5E650565"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52.85-68.25</w:t>
            </w:r>
          </w:p>
        </w:tc>
      </w:tr>
      <w:tr w:rsidR="00FA39F0" w:rsidRPr="00591BD8" w14:paraId="0E116F36" w14:textId="77777777" w:rsidTr="000475D4">
        <w:trPr>
          <w:trHeight w:val="20"/>
          <w:jc w:val="center"/>
        </w:trPr>
        <w:tc>
          <w:tcPr>
            <w:tcW w:w="0" w:type="auto"/>
            <w:tcBorders>
              <w:bottom w:val="single" w:sz="4" w:space="0" w:color="auto"/>
            </w:tcBorders>
            <w:shd w:val="clear" w:color="auto" w:fill="auto"/>
          </w:tcPr>
          <w:p w14:paraId="0D3C17F7"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No es bueno</w:t>
            </w:r>
          </w:p>
        </w:tc>
        <w:tc>
          <w:tcPr>
            <w:tcW w:w="1942" w:type="dxa"/>
            <w:tcBorders>
              <w:bottom w:val="single" w:sz="4" w:space="0" w:color="auto"/>
            </w:tcBorders>
          </w:tcPr>
          <w:p w14:paraId="55700697"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117.1 – 144.0</w:t>
            </w:r>
          </w:p>
        </w:tc>
        <w:tc>
          <w:tcPr>
            <w:tcW w:w="2250" w:type="dxa"/>
            <w:tcBorders>
              <w:bottom w:val="single" w:sz="4" w:space="0" w:color="auto"/>
            </w:tcBorders>
          </w:tcPr>
          <w:p w14:paraId="45B9C0F9"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32.6-40.0</w:t>
            </w:r>
          </w:p>
        </w:tc>
        <w:tc>
          <w:tcPr>
            <w:tcW w:w="1917" w:type="dxa"/>
            <w:tcBorders>
              <w:bottom w:val="single" w:sz="4" w:space="0" w:color="auto"/>
            </w:tcBorders>
          </w:tcPr>
          <w:p w14:paraId="022CDC70" w14:textId="77777777" w:rsidR="00FA39F0" w:rsidRPr="00591BD8" w:rsidRDefault="00FA39F0" w:rsidP="00FA39F0">
            <w:pPr>
              <w:spacing w:after="100" w:afterAutospacing="1"/>
              <w:jc w:val="both"/>
              <w:rPr>
                <w:rFonts w:ascii="Times New Roman" w:hAnsi="Times New Roman"/>
                <w:sz w:val="20"/>
                <w:szCs w:val="20"/>
              </w:rPr>
            </w:pPr>
            <w:r w:rsidRPr="00591BD8">
              <w:rPr>
                <w:rFonts w:ascii="Times New Roman" w:hAnsi="Times New Roman"/>
                <w:sz w:val="20"/>
                <w:szCs w:val="20"/>
              </w:rPr>
              <w:t>68.35-84.0</w:t>
            </w:r>
          </w:p>
        </w:tc>
      </w:tr>
    </w:tbl>
    <w:p w14:paraId="770536AC" w14:textId="77777777" w:rsidR="00FA39F0" w:rsidRPr="00591BD8" w:rsidRDefault="00FA39F0" w:rsidP="00FA39F0">
      <w:pPr>
        <w:pStyle w:val="E-JournalHeading2"/>
        <w:rPr>
          <w:lang w:val="id-ID"/>
        </w:rPr>
      </w:pPr>
    </w:p>
    <w:p w14:paraId="1026F148" w14:textId="77777777" w:rsidR="00BC4D19" w:rsidRPr="00591BD8" w:rsidRDefault="00BC4D19" w:rsidP="00BC4D19">
      <w:pPr>
        <w:pStyle w:val="E-JournalHeading1"/>
        <w:rPr>
          <w:bCs/>
          <w:i/>
          <w:iCs/>
          <w:color w:val="70AD47" w:themeColor="accent6"/>
          <w:szCs w:val="24"/>
          <w:lang w:val="id-ID"/>
        </w:rPr>
      </w:pPr>
      <w:r w:rsidRPr="00591BD8">
        <w:rPr>
          <w:bCs/>
          <w:i/>
          <w:iCs/>
          <w:color w:val="70AD47" w:themeColor="accent6"/>
          <w:szCs w:val="24"/>
        </w:rPr>
        <w:t>Data analysis technique</w:t>
      </w:r>
    </w:p>
    <w:p w14:paraId="0F4B333C" w14:textId="09D7BA50" w:rsidR="00BC4D19" w:rsidRPr="00591BD8" w:rsidRDefault="00FA39F0" w:rsidP="00FA39F0">
      <w:pPr>
        <w:pStyle w:val="E-JournalHeading1"/>
        <w:ind w:firstLine="720"/>
        <w:jc w:val="both"/>
        <w:rPr>
          <w:b w:val="0"/>
          <w:szCs w:val="24"/>
          <w:lang w:val="id-ID"/>
        </w:rPr>
      </w:pPr>
      <w:r w:rsidRPr="00591BD8">
        <w:rPr>
          <w:b w:val="0"/>
          <w:szCs w:val="24"/>
        </w:rPr>
        <w:t xml:space="preserve">Esta </w:t>
      </w:r>
      <w:proofErr w:type="spellStart"/>
      <w:r w:rsidRPr="00591BD8">
        <w:rPr>
          <w:b w:val="0"/>
          <w:szCs w:val="24"/>
        </w:rPr>
        <w:t>investigación</w:t>
      </w:r>
      <w:proofErr w:type="spellEnd"/>
      <w:r w:rsidRPr="00591BD8">
        <w:rPr>
          <w:b w:val="0"/>
          <w:szCs w:val="24"/>
        </w:rPr>
        <w:t xml:space="preserve"> </w:t>
      </w:r>
      <w:proofErr w:type="spellStart"/>
      <w:r w:rsidRPr="00591BD8">
        <w:rPr>
          <w:b w:val="0"/>
          <w:szCs w:val="24"/>
        </w:rPr>
        <w:t>comenzó</w:t>
      </w:r>
      <w:proofErr w:type="spellEnd"/>
      <w:r w:rsidRPr="00591BD8">
        <w:rPr>
          <w:b w:val="0"/>
          <w:szCs w:val="24"/>
        </w:rPr>
        <w:t xml:space="preserve"> con la </w:t>
      </w:r>
      <w:proofErr w:type="spellStart"/>
      <w:r w:rsidRPr="00591BD8">
        <w:rPr>
          <w:b w:val="0"/>
          <w:szCs w:val="24"/>
        </w:rPr>
        <w:t>distribución</w:t>
      </w:r>
      <w:proofErr w:type="spellEnd"/>
      <w:r w:rsidRPr="00591BD8">
        <w:rPr>
          <w:b w:val="0"/>
          <w:szCs w:val="24"/>
        </w:rPr>
        <w:t xml:space="preserve"> de </w:t>
      </w:r>
      <w:proofErr w:type="spellStart"/>
      <w:r w:rsidRPr="00591BD8">
        <w:rPr>
          <w:b w:val="0"/>
          <w:szCs w:val="24"/>
        </w:rPr>
        <w:t>cuestionarios</w:t>
      </w:r>
      <w:proofErr w:type="spellEnd"/>
      <w:r w:rsidRPr="00591BD8">
        <w:rPr>
          <w:b w:val="0"/>
          <w:szCs w:val="24"/>
        </w:rPr>
        <w:t xml:space="preserve">, </w:t>
      </w:r>
      <w:proofErr w:type="spellStart"/>
      <w:r w:rsidRPr="00591BD8">
        <w:rPr>
          <w:b w:val="0"/>
          <w:szCs w:val="24"/>
        </w:rPr>
        <w:t>seguido</w:t>
      </w:r>
      <w:proofErr w:type="spellEnd"/>
      <w:r w:rsidRPr="00591BD8">
        <w:rPr>
          <w:b w:val="0"/>
          <w:szCs w:val="24"/>
        </w:rPr>
        <w:t xml:space="preserve"> del </w:t>
      </w:r>
      <w:proofErr w:type="spellStart"/>
      <w:r w:rsidRPr="00591BD8">
        <w:rPr>
          <w:b w:val="0"/>
          <w:szCs w:val="24"/>
        </w:rPr>
        <w:t>análisis</w:t>
      </w:r>
      <w:proofErr w:type="spellEnd"/>
      <w:r w:rsidRPr="00591BD8">
        <w:rPr>
          <w:b w:val="0"/>
          <w:szCs w:val="24"/>
        </w:rPr>
        <w:t xml:space="preserve"> de </w:t>
      </w:r>
      <w:proofErr w:type="spellStart"/>
      <w:r w:rsidRPr="00591BD8">
        <w:rPr>
          <w:b w:val="0"/>
          <w:szCs w:val="24"/>
        </w:rPr>
        <w:t>datos</w:t>
      </w:r>
      <w:proofErr w:type="spellEnd"/>
      <w:r w:rsidRPr="00591BD8">
        <w:rPr>
          <w:b w:val="0"/>
          <w:szCs w:val="24"/>
        </w:rPr>
        <w:t xml:space="preserve"> </w:t>
      </w:r>
      <w:proofErr w:type="spellStart"/>
      <w:r w:rsidRPr="00591BD8">
        <w:rPr>
          <w:b w:val="0"/>
          <w:szCs w:val="24"/>
        </w:rPr>
        <w:t>cuantitativos</w:t>
      </w:r>
      <w:proofErr w:type="spellEnd"/>
      <w:r w:rsidRPr="00591BD8">
        <w:rPr>
          <w:b w:val="0"/>
          <w:szCs w:val="24"/>
        </w:rPr>
        <w:t xml:space="preserve"> y la </w:t>
      </w:r>
      <w:proofErr w:type="spellStart"/>
      <w:r w:rsidRPr="00591BD8">
        <w:rPr>
          <w:b w:val="0"/>
          <w:szCs w:val="24"/>
        </w:rPr>
        <w:t>identificación</w:t>
      </w:r>
      <w:proofErr w:type="spellEnd"/>
      <w:r w:rsidRPr="00591BD8">
        <w:rPr>
          <w:b w:val="0"/>
          <w:szCs w:val="24"/>
        </w:rPr>
        <w:t xml:space="preserve"> de </w:t>
      </w:r>
      <w:proofErr w:type="spellStart"/>
      <w:r w:rsidRPr="00591BD8">
        <w:rPr>
          <w:b w:val="0"/>
          <w:szCs w:val="24"/>
        </w:rPr>
        <w:t>hallazgos</w:t>
      </w:r>
      <w:proofErr w:type="spellEnd"/>
      <w:r w:rsidRPr="00591BD8">
        <w:rPr>
          <w:b w:val="0"/>
          <w:szCs w:val="24"/>
        </w:rPr>
        <w:t xml:space="preserve"> para </w:t>
      </w:r>
      <w:proofErr w:type="spellStart"/>
      <w:r w:rsidRPr="00591BD8">
        <w:rPr>
          <w:b w:val="0"/>
          <w:szCs w:val="24"/>
        </w:rPr>
        <w:t>futura</w:t>
      </w:r>
      <w:proofErr w:type="spellEnd"/>
      <w:r w:rsidRPr="00591BD8">
        <w:rPr>
          <w:b w:val="0"/>
          <w:szCs w:val="24"/>
        </w:rPr>
        <w:t xml:space="preserve"> </w:t>
      </w:r>
      <w:proofErr w:type="spellStart"/>
      <w:r w:rsidRPr="00591BD8">
        <w:rPr>
          <w:b w:val="0"/>
          <w:szCs w:val="24"/>
        </w:rPr>
        <w:t>investigaciones</w:t>
      </w:r>
      <w:proofErr w:type="spellEnd"/>
      <w:r w:rsidRPr="00591BD8">
        <w:rPr>
          <w:b w:val="0"/>
          <w:szCs w:val="24"/>
        </w:rPr>
        <w:t xml:space="preserve">. During the stage of data collection, 120 students were killed by two schools who completed a body. Los </w:t>
      </w:r>
      <w:proofErr w:type="spellStart"/>
      <w:r w:rsidRPr="00591BD8">
        <w:rPr>
          <w:b w:val="0"/>
          <w:szCs w:val="24"/>
        </w:rPr>
        <w:t>datos</w:t>
      </w:r>
      <w:proofErr w:type="spellEnd"/>
      <w:r w:rsidRPr="00591BD8">
        <w:rPr>
          <w:b w:val="0"/>
          <w:szCs w:val="24"/>
        </w:rPr>
        <w:t xml:space="preserve"> </w:t>
      </w:r>
      <w:proofErr w:type="spellStart"/>
      <w:r w:rsidRPr="00591BD8">
        <w:rPr>
          <w:b w:val="0"/>
          <w:szCs w:val="24"/>
        </w:rPr>
        <w:t>recolectados</w:t>
      </w:r>
      <w:proofErr w:type="spellEnd"/>
      <w:r w:rsidRPr="00591BD8">
        <w:rPr>
          <w:b w:val="0"/>
          <w:szCs w:val="24"/>
        </w:rPr>
        <w:t xml:space="preserve"> </w:t>
      </w:r>
      <w:proofErr w:type="spellStart"/>
      <w:r w:rsidRPr="00591BD8">
        <w:rPr>
          <w:b w:val="0"/>
          <w:szCs w:val="24"/>
        </w:rPr>
        <w:t>fueron</w:t>
      </w:r>
      <w:proofErr w:type="spellEnd"/>
      <w:r w:rsidRPr="00591BD8">
        <w:rPr>
          <w:b w:val="0"/>
          <w:szCs w:val="24"/>
        </w:rPr>
        <w:t xml:space="preserve"> luego </w:t>
      </w:r>
      <w:proofErr w:type="spellStart"/>
      <w:r w:rsidRPr="00591BD8">
        <w:rPr>
          <w:b w:val="0"/>
          <w:szCs w:val="24"/>
        </w:rPr>
        <w:t>analizados</w:t>
      </w:r>
      <w:proofErr w:type="spellEnd"/>
      <w:r w:rsidRPr="00591BD8">
        <w:rPr>
          <w:b w:val="0"/>
          <w:szCs w:val="24"/>
        </w:rPr>
        <w:t xml:space="preserve"> </w:t>
      </w:r>
      <w:proofErr w:type="spellStart"/>
      <w:r w:rsidRPr="00591BD8">
        <w:rPr>
          <w:b w:val="0"/>
          <w:szCs w:val="24"/>
        </w:rPr>
        <w:t>mediante</w:t>
      </w:r>
      <w:proofErr w:type="spellEnd"/>
      <w:r w:rsidRPr="00591BD8">
        <w:rPr>
          <w:b w:val="0"/>
          <w:szCs w:val="24"/>
        </w:rPr>
        <w:t xml:space="preserve"> un </w:t>
      </w:r>
      <w:proofErr w:type="spellStart"/>
      <w:r w:rsidRPr="00591BD8">
        <w:rPr>
          <w:b w:val="0"/>
          <w:szCs w:val="24"/>
        </w:rPr>
        <w:t>proceso</w:t>
      </w:r>
      <w:proofErr w:type="spellEnd"/>
      <w:r w:rsidRPr="00591BD8">
        <w:rPr>
          <w:b w:val="0"/>
          <w:szCs w:val="24"/>
        </w:rPr>
        <w:t xml:space="preserve"> de </w:t>
      </w:r>
      <w:proofErr w:type="spellStart"/>
      <w:r w:rsidRPr="00591BD8">
        <w:rPr>
          <w:b w:val="0"/>
          <w:szCs w:val="24"/>
        </w:rPr>
        <w:t>codificación</w:t>
      </w:r>
      <w:proofErr w:type="spellEnd"/>
      <w:r w:rsidRPr="00591BD8">
        <w:rPr>
          <w:b w:val="0"/>
          <w:szCs w:val="24"/>
        </w:rPr>
        <w:t xml:space="preserve">, </w:t>
      </w:r>
      <w:proofErr w:type="spellStart"/>
      <w:r w:rsidRPr="00591BD8">
        <w:rPr>
          <w:b w:val="0"/>
          <w:szCs w:val="24"/>
        </w:rPr>
        <w:t>selección</w:t>
      </w:r>
      <w:proofErr w:type="spellEnd"/>
      <w:r w:rsidRPr="00591BD8">
        <w:rPr>
          <w:b w:val="0"/>
          <w:szCs w:val="24"/>
        </w:rPr>
        <w:t xml:space="preserve"> de </w:t>
      </w:r>
      <w:proofErr w:type="spellStart"/>
      <w:r w:rsidRPr="00591BD8">
        <w:rPr>
          <w:b w:val="0"/>
          <w:szCs w:val="24"/>
        </w:rPr>
        <w:t>datos</w:t>
      </w:r>
      <w:proofErr w:type="spellEnd"/>
      <w:r w:rsidRPr="00591BD8">
        <w:rPr>
          <w:b w:val="0"/>
          <w:szCs w:val="24"/>
        </w:rPr>
        <w:t xml:space="preserve"> </w:t>
      </w:r>
      <w:proofErr w:type="spellStart"/>
      <w:r w:rsidRPr="00591BD8">
        <w:rPr>
          <w:b w:val="0"/>
          <w:szCs w:val="24"/>
        </w:rPr>
        <w:t>relevantes</w:t>
      </w:r>
      <w:proofErr w:type="spellEnd"/>
      <w:r w:rsidRPr="00591BD8">
        <w:rPr>
          <w:b w:val="0"/>
          <w:szCs w:val="24"/>
        </w:rPr>
        <w:t xml:space="preserve"> y </w:t>
      </w:r>
      <w:proofErr w:type="spellStart"/>
      <w:r w:rsidRPr="00591BD8">
        <w:rPr>
          <w:b w:val="0"/>
          <w:szCs w:val="24"/>
        </w:rPr>
        <w:t>análisis</w:t>
      </w:r>
      <w:proofErr w:type="spellEnd"/>
      <w:r w:rsidRPr="00591BD8">
        <w:rPr>
          <w:b w:val="0"/>
          <w:szCs w:val="24"/>
        </w:rPr>
        <w:t xml:space="preserve"> </w:t>
      </w:r>
      <w:proofErr w:type="spellStart"/>
      <w:r w:rsidRPr="00591BD8">
        <w:rPr>
          <w:b w:val="0"/>
          <w:szCs w:val="24"/>
        </w:rPr>
        <w:t>mediante</w:t>
      </w:r>
      <w:proofErr w:type="spellEnd"/>
      <w:r w:rsidRPr="00591BD8">
        <w:rPr>
          <w:b w:val="0"/>
          <w:szCs w:val="24"/>
        </w:rPr>
        <w:t xml:space="preserve"> </w:t>
      </w:r>
      <w:proofErr w:type="spellStart"/>
      <w:r w:rsidRPr="00591BD8">
        <w:rPr>
          <w:b w:val="0"/>
          <w:szCs w:val="24"/>
        </w:rPr>
        <w:t>el</w:t>
      </w:r>
      <w:proofErr w:type="spellEnd"/>
      <w:r w:rsidRPr="00591BD8">
        <w:rPr>
          <w:b w:val="0"/>
          <w:szCs w:val="24"/>
        </w:rPr>
        <w:t xml:space="preserve"> software SPSS con </w:t>
      </w:r>
      <w:proofErr w:type="spellStart"/>
      <w:r w:rsidRPr="00591BD8">
        <w:rPr>
          <w:b w:val="0"/>
          <w:szCs w:val="24"/>
        </w:rPr>
        <w:t>pruebas</w:t>
      </w:r>
      <w:proofErr w:type="spellEnd"/>
      <w:r w:rsidRPr="00591BD8">
        <w:rPr>
          <w:b w:val="0"/>
          <w:szCs w:val="24"/>
        </w:rPr>
        <w:t xml:space="preserve"> </w:t>
      </w:r>
      <w:proofErr w:type="spellStart"/>
      <w:r w:rsidRPr="00591BD8">
        <w:rPr>
          <w:b w:val="0"/>
          <w:szCs w:val="24"/>
        </w:rPr>
        <w:t>estadísticas</w:t>
      </w:r>
      <w:proofErr w:type="spellEnd"/>
      <w:r w:rsidRPr="00591BD8">
        <w:rPr>
          <w:b w:val="0"/>
          <w:szCs w:val="24"/>
        </w:rPr>
        <w:t xml:space="preserve"> </w:t>
      </w:r>
      <w:proofErr w:type="spellStart"/>
      <w:r w:rsidRPr="00591BD8">
        <w:rPr>
          <w:b w:val="0"/>
          <w:szCs w:val="24"/>
        </w:rPr>
        <w:t>descriptivas</w:t>
      </w:r>
      <w:proofErr w:type="spellEnd"/>
      <w:r w:rsidRPr="00591BD8">
        <w:rPr>
          <w:b w:val="0"/>
          <w:szCs w:val="24"/>
        </w:rPr>
        <w:t xml:space="preserve"> e </w:t>
      </w:r>
      <w:proofErr w:type="spellStart"/>
      <w:r w:rsidRPr="00591BD8">
        <w:rPr>
          <w:b w:val="0"/>
          <w:szCs w:val="24"/>
        </w:rPr>
        <w:t>inferenciales</w:t>
      </w:r>
      <w:proofErr w:type="spellEnd"/>
      <w:r w:rsidRPr="00591BD8">
        <w:rPr>
          <w:b w:val="0"/>
          <w:szCs w:val="24"/>
        </w:rPr>
        <w:t xml:space="preserve">. Firstly, descriptive statistics are used to provide a general view of the cognitive psychology of students (Amrhein et al., 2019; </w:t>
      </w:r>
      <w:proofErr w:type="spellStart"/>
      <w:r w:rsidRPr="00591BD8">
        <w:rPr>
          <w:b w:val="0"/>
          <w:szCs w:val="24"/>
        </w:rPr>
        <w:t>Ghavifekr</w:t>
      </w:r>
      <w:proofErr w:type="spellEnd"/>
      <w:r w:rsidRPr="00591BD8">
        <w:rPr>
          <w:b w:val="0"/>
          <w:szCs w:val="24"/>
        </w:rPr>
        <w:t xml:space="preserve"> &amp; </w:t>
      </w:r>
      <w:proofErr w:type="spellStart"/>
      <w:r w:rsidRPr="00591BD8">
        <w:rPr>
          <w:b w:val="0"/>
          <w:szCs w:val="24"/>
        </w:rPr>
        <w:t>Rosdy</w:t>
      </w:r>
      <w:proofErr w:type="spellEnd"/>
      <w:r w:rsidRPr="00591BD8">
        <w:rPr>
          <w:b w:val="0"/>
          <w:szCs w:val="24"/>
        </w:rPr>
        <w:t xml:space="preserve">, 2015). Luego se </w:t>
      </w:r>
      <w:proofErr w:type="spellStart"/>
      <w:r w:rsidRPr="00591BD8">
        <w:rPr>
          <w:b w:val="0"/>
          <w:szCs w:val="24"/>
        </w:rPr>
        <w:t>realizan</w:t>
      </w:r>
      <w:proofErr w:type="spellEnd"/>
      <w:r w:rsidRPr="00591BD8">
        <w:rPr>
          <w:b w:val="0"/>
          <w:szCs w:val="24"/>
        </w:rPr>
        <w:t xml:space="preserve"> </w:t>
      </w:r>
      <w:proofErr w:type="spellStart"/>
      <w:r w:rsidRPr="00591BD8">
        <w:rPr>
          <w:b w:val="0"/>
          <w:szCs w:val="24"/>
        </w:rPr>
        <w:t>pruebas</w:t>
      </w:r>
      <w:proofErr w:type="spellEnd"/>
      <w:r w:rsidRPr="00591BD8">
        <w:rPr>
          <w:b w:val="0"/>
          <w:szCs w:val="24"/>
        </w:rPr>
        <w:t xml:space="preserve"> de </w:t>
      </w:r>
      <w:proofErr w:type="spellStart"/>
      <w:r w:rsidRPr="00591BD8">
        <w:rPr>
          <w:b w:val="0"/>
          <w:szCs w:val="24"/>
        </w:rPr>
        <w:t>supuestos</w:t>
      </w:r>
      <w:proofErr w:type="spellEnd"/>
      <w:r w:rsidRPr="00591BD8">
        <w:rPr>
          <w:b w:val="0"/>
          <w:szCs w:val="24"/>
        </w:rPr>
        <w:t xml:space="preserve"> </w:t>
      </w:r>
      <w:proofErr w:type="spellStart"/>
      <w:r w:rsidRPr="00591BD8">
        <w:rPr>
          <w:b w:val="0"/>
          <w:szCs w:val="24"/>
        </w:rPr>
        <w:t>como</w:t>
      </w:r>
      <w:proofErr w:type="spellEnd"/>
      <w:r w:rsidRPr="00591BD8">
        <w:rPr>
          <w:b w:val="0"/>
          <w:szCs w:val="24"/>
        </w:rPr>
        <w:t xml:space="preserve"> </w:t>
      </w:r>
      <w:proofErr w:type="spellStart"/>
      <w:r w:rsidRPr="00591BD8">
        <w:rPr>
          <w:b w:val="0"/>
          <w:szCs w:val="24"/>
        </w:rPr>
        <w:t>pruebas</w:t>
      </w:r>
      <w:proofErr w:type="spellEnd"/>
      <w:r w:rsidRPr="00591BD8">
        <w:rPr>
          <w:b w:val="0"/>
          <w:szCs w:val="24"/>
        </w:rPr>
        <w:t xml:space="preserve"> de </w:t>
      </w:r>
      <w:proofErr w:type="spellStart"/>
      <w:r w:rsidRPr="00591BD8">
        <w:rPr>
          <w:b w:val="0"/>
          <w:szCs w:val="24"/>
        </w:rPr>
        <w:t>normalidad</w:t>
      </w:r>
      <w:proofErr w:type="spellEnd"/>
      <w:r w:rsidRPr="00591BD8">
        <w:rPr>
          <w:b w:val="0"/>
          <w:szCs w:val="24"/>
        </w:rPr>
        <w:t xml:space="preserve">, </w:t>
      </w:r>
      <w:proofErr w:type="spellStart"/>
      <w:r w:rsidRPr="00591BD8">
        <w:rPr>
          <w:b w:val="0"/>
          <w:szCs w:val="24"/>
        </w:rPr>
        <w:t>homogeneidad</w:t>
      </w:r>
      <w:proofErr w:type="spellEnd"/>
      <w:r w:rsidRPr="00591BD8">
        <w:rPr>
          <w:b w:val="0"/>
          <w:szCs w:val="24"/>
        </w:rPr>
        <w:t xml:space="preserve"> y </w:t>
      </w:r>
      <w:proofErr w:type="spellStart"/>
      <w:r w:rsidRPr="00591BD8">
        <w:rPr>
          <w:b w:val="0"/>
          <w:szCs w:val="24"/>
        </w:rPr>
        <w:t>linealidad</w:t>
      </w:r>
      <w:proofErr w:type="spellEnd"/>
      <w:r w:rsidRPr="00591BD8">
        <w:rPr>
          <w:b w:val="0"/>
          <w:szCs w:val="24"/>
        </w:rPr>
        <w:t xml:space="preserve">. La </w:t>
      </w:r>
      <w:proofErr w:type="spellStart"/>
      <w:r w:rsidRPr="00591BD8">
        <w:rPr>
          <w:b w:val="0"/>
          <w:szCs w:val="24"/>
        </w:rPr>
        <w:t>prueba</w:t>
      </w:r>
      <w:proofErr w:type="spellEnd"/>
      <w:r w:rsidRPr="00591BD8">
        <w:rPr>
          <w:b w:val="0"/>
          <w:szCs w:val="24"/>
        </w:rPr>
        <w:t xml:space="preserve"> de </w:t>
      </w:r>
      <w:proofErr w:type="spellStart"/>
      <w:r w:rsidRPr="00591BD8">
        <w:rPr>
          <w:b w:val="0"/>
          <w:szCs w:val="24"/>
        </w:rPr>
        <w:t>normalidad</w:t>
      </w:r>
      <w:proofErr w:type="spellEnd"/>
      <w:r w:rsidRPr="00591BD8">
        <w:rPr>
          <w:b w:val="0"/>
          <w:szCs w:val="24"/>
        </w:rPr>
        <w:t xml:space="preserve"> </w:t>
      </w:r>
      <w:proofErr w:type="spellStart"/>
      <w:r w:rsidRPr="00591BD8">
        <w:rPr>
          <w:b w:val="0"/>
          <w:szCs w:val="24"/>
        </w:rPr>
        <w:t>evalúa</w:t>
      </w:r>
      <w:proofErr w:type="spellEnd"/>
      <w:r w:rsidRPr="00591BD8">
        <w:rPr>
          <w:b w:val="0"/>
          <w:szCs w:val="24"/>
        </w:rPr>
        <w:t xml:space="preserve"> </w:t>
      </w:r>
      <w:proofErr w:type="spellStart"/>
      <w:r w:rsidRPr="00591BD8">
        <w:rPr>
          <w:b w:val="0"/>
          <w:szCs w:val="24"/>
        </w:rPr>
        <w:t>si</w:t>
      </w:r>
      <w:proofErr w:type="spellEnd"/>
      <w:r w:rsidRPr="00591BD8">
        <w:rPr>
          <w:b w:val="0"/>
          <w:szCs w:val="24"/>
        </w:rPr>
        <w:t xml:space="preserve"> </w:t>
      </w:r>
      <w:proofErr w:type="spellStart"/>
      <w:r w:rsidRPr="00591BD8">
        <w:rPr>
          <w:b w:val="0"/>
          <w:szCs w:val="24"/>
        </w:rPr>
        <w:t>los</w:t>
      </w:r>
      <w:proofErr w:type="spellEnd"/>
      <w:r w:rsidRPr="00591BD8">
        <w:rPr>
          <w:b w:val="0"/>
          <w:szCs w:val="24"/>
        </w:rPr>
        <w:t xml:space="preserve"> </w:t>
      </w:r>
      <w:proofErr w:type="spellStart"/>
      <w:r w:rsidRPr="00591BD8">
        <w:rPr>
          <w:b w:val="0"/>
          <w:szCs w:val="24"/>
        </w:rPr>
        <w:t>datos</w:t>
      </w:r>
      <w:proofErr w:type="spellEnd"/>
      <w:r w:rsidRPr="00591BD8">
        <w:rPr>
          <w:b w:val="0"/>
          <w:szCs w:val="24"/>
        </w:rPr>
        <w:t xml:space="preserve"> </w:t>
      </w:r>
      <w:proofErr w:type="spellStart"/>
      <w:r w:rsidRPr="00591BD8">
        <w:rPr>
          <w:b w:val="0"/>
          <w:szCs w:val="24"/>
        </w:rPr>
        <w:t>siguen</w:t>
      </w:r>
      <w:proofErr w:type="spellEnd"/>
      <w:r w:rsidRPr="00591BD8">
        <w:rPr>
          <w:b w:val="0"/>
          <w:szCs w:val="24"/>
        </w:rPr>
        <w:t xml:space="preserve"> </w:t>
      </w:r>
      <w:proofErr w:type="spellStart"/>
      <w:r w:rsidRPr="00591BD8">
        <w:rPr>
          <w:b w:val="0"/>
          <w:szCs w:val="24"/>
        </w:rPr>
        <w:t>una</w:t>
      </w:r>
      <w:proofErr w:type="spellEnd"/>
      <w:r w:rsidRPr="00591BD8">
        <w:rPr>
          <w:b w:val="0"/>
          <w:szCs w:val="24"/>
        </w:rPr>
        <w:t xml:space="preserve"> </w:t>
      </w:r>
      <w:proofErr w:type="spellStart"/>
      <w:r w:rsidRPr="00591BD8">
        <w:rPr>
          <w:b w:val="0"/>
          <w:szCs w:val="24"/>
        </w:rPr>
        <w:t>distribución</w:t>
      </w:r>
      <w:proofErr w:type="spellEnd"/>
      <w:r w:rsidRPr="00591BD8">
        <w:rPr>
          <w:b w:val="0"/>
          <w:szCs w:val="24"/>
        </w:rPr>
        <w:t xml:space="preserve"> normal, la </w:t>
      </w:r>
      <w:proofErr w:type="spellStart"/>
      <w:r w:rsidRPr="00591BD8">
        <w:rPr>
          <w:b w:val="0"/>
          <w:szCs w:val="24"/>
        </w:rPr>
        <w:t>prueba</w:t>
      </w:r>
      <w:proofErr w:type="spellEnd"/>
      <w:r w:rsidRPr="00591BD8">
        <w:rPr>
          <w:b w:val="0"/>
          <w:szCs w:val="24"/>
        </w:rPr>
        <w:t xml:space="preserve"> de </w:t>
      </w:r>
      <w:proofErr w:type="spellStart"/>
      <w:r w:rsidRPr="00591BD8">
        <w:rPr>
          <w:b w:val="0"/>
          <w:szCs w:val="24"/>
        </w:rPr>
        <w:t>homogeneidad</w:t>
      </w:r>
      <w:proofErr w:type="spellEnd"/>
      <w:r w:rsidRPr="00591BD8">
        <w:rPr>
          <w:b w:val="0"/>
          <w:szCs w:val="24"/>
        </w:rPr>
        <w:t xml:space="preserve"> </w:t>
      </w:r>
      <w:proofErr w:type="spellStart"/>
      <w:r w:rsidRPr="00591BD8">
        <w:rPr>
          <w:b w:val="0"/>
          <w:szCs w:val="24"/>
        </w:rPr>
        <w:t>examina</w:t>
      </w:r>
      <w:proofErr w:type="spellEnd"/>
      <w:r w:rsidRPr="00591BD8">
        <w:rPr>
          <w:b w:val="0"/>
          <w:szCs w:val="24"/>
        </w:rPr>
        <w:t xml:space="preserve"> la </w:t>
      </w:r>
      <w:proofErr w:type="spellStart"/>
      <w:r w:rsidRPr="00591BD8">
        <w:rPr>
          <w:b w:val="0"/>
          <w:szCs w:val="24"/>
        </w:rPr>
        <w:t>igualdad</w:t>
      </w:r>
      <w:proofErr w:type="spellEnd"/>
      <w:r w:rsidRPr="00591BD8">
        <w:rPr>
          <w:b w:val="0"/>
          <w:szCs w:val="24"/>
        </w:rPr>
        <w:t xml:space="preserve"> de </w:t>
      </w:r>
      <w:proofErr w:type="spellStart"/>
      <w:r w:rsidRPr="00591BD8">
        <w:rPr>
          <w:b w:val="0"/>
          <w:szCs w:val="24"/>
        </w:rPr>
        <w:t>varianza</w:t>
      </w:r>
      <w:proofErr w:type="spellEnd"/>
      <w:r w:rsidRPr="00591BD8">
        <w:rPr>
          <w:b w:val="0"/>
          <w:szCs w:val="24"/>
        </w:rPr>
        <w:t xml:space="preserve"> entre dos </w:t>
      </w:r>
      <w:proofErr w:type="spellStart"/>
      <w:r w:rsidRPr="00591BD8">
        <w:rPr>
          <w:b w:val="0"/>
          <w:szCs w:val="24"/>
        </w:rPr>
        <w:t>grupos</w:t>
      </w:r>
      <w:proofErr w:type="spellEnd"/>
      <w:r w:rsidRPr="00591BD8">
        <w:rPr>
          <w:b w:val="0"/>
          <w:szCs w:val="24"/>
        </w:rPr>
        <w:t xml:space="preserve"> </w:t>
      </w:r>
      <w:proofErr w:type="spellStart"/>
      <w:r w:rsidRPr="00591BD8">
        <w:rPr>
          <w:b w:val="0"/>
          <w:szCs w:val="24"/>
        </w:rPr>
        <w:t>diferentes</w:t>
      </w:r>
      <w:proofErr w:type="spellEnd"/>
      <w:r w:rsidRPr="00591BD8">
        <w:rPr>
          <w:b w:val="0"/>
          <w:szCs w:val="24"/>
        </w:rPr>
        <w:t xml:space="preserve"> de </w:t>
      </w:r>
      <w:proofErr w:type="spellStart"/>
      <w:r w:rsidRPr="00591BD8">
        <w:rPr>
          <w:b w:val="0"/>
          <w:szCs w:val="24"/>
        </w:rPr>
        <w:t>datos</w:t>
      </w:r>
      <w:proofErr w:type="spellEnd"/>
      <w:r w:rsidRPr="00591BD8">
        <w:rPr>
          <w:b w:val="0"/>
          <w:szCs w:val="24"/>
        </w:rPr>
        <w:t xml:space="preserve"> y la </w:t>
      </w:r>
      <w:proofErr w:type="spellStart"/>
      <w:r w:rsidRPr="00591BD8">
        <w:rPr>
          <w:b w:val="0"/>
          <w:szCs w:val="24"/>
        </w:rPr>
        <w:t>prueba</w:t>
      </w:r>
      <w:proofErr w:type="spellEnd"/>
      <w:r w:rsidRPr="00591BD8">
        <w:rPr>
          <w:b w:val="0"/>
          <w:szCs w:val="24"/>
        </w:rPr>
        <w:t xml:space="preserve"> de </w:t>
      </w:r>
      <w:proofErr w:type="spellStart"/>
      <w:r w:rsidRPr="00591BD8">
        <w:rPr>
          <w:b w:val="0"/>
          <w:szCs w:val="24"/>
        </w:rPr>
        <w:t>linealidad</w:t>
      </w:r>
      <w:proofErr w:type="spellEnd"/>
      <w:r w:rsidRPr="00591BD8">
        <w:rPr>
          <w:b w:val="0"/>
          <w:szCs w:val="24"/>
        </w:rPr>
        <w:t xml:space="preserve"> </w:t>
      </w:r>
      <w:proofErr w:type="spellStart"/>
      <w:r w:rsidRPr="00591BD8">
        <w:rPr>
          <w:b w:val="0"/>
          <w:szCs w:val="24"/>
        </w:rPr>
        <w:t>evalúa</w:t>
      </w:r>
      <w:proofErr w:type="spellEnd"/>
      <w:r w:rsidRPr="00591BD8">
        <w:rPr>
          <w:b w:val="0"/>
          <w:szCs w:val="24"/>
        </w:rPr>
        <w:t xml:space="preserve"> la </w:t>
      </w:r>
      <w:proofErr w:type="spellStart"/>
      <w:r w:rsidRPr="00591BD8">
        <w:rPr>
          <w:b w:val="0"/>
          <w:szCs w:val="24"/>
        </w:rPr>
        <w:t>relación</w:t>
      </w:r>
      <w:proofErr w:type="spellEnd"/>
      <w:r w:rsidRPr="00591BD8">
        <w:rPr>
          <w:b w:val="0"/>
          <w:szCs w:val="24"/>
        </w:rPr>
        <w:t xml:space="preserve"> lineal entre dos variables. A </w:t>
      </w:r>
      <w:proofErr w:type="spellStart"/>
      <w:r w:rsidRPr="00591BD8">
        <w:rPr>
          <w:b w:val="0"/>
          <w:szCs w:val="24"/>
        </w:rPr>
        <w:t>continuación</w:t>
      </w:r>
      <w:proofErr w:type="spellEnd"/>
      <w:r w:rsidRPr="00591BD8">
        <w:rPr>
          <w:b w:val="0"/>
          <w:szCs w:val="24"/>
        </w:rPr>
        <w:t xml:space="preserve"> se </w:t>
      </w:r>
      <w:proofErr w:type="spellStart"/>
      <w:r w:rsidRPr="00591BD8">
        <w:rPr>
          <w:b w:val="0"/>
          <w:szCs w:val="24"/>
        </w:rPr>
        <w:t>realizó</w:t>
      </w:r>
      <w:proofErr w:type="spellEnd"/>
      <w:r w:rsidRPr="00591BD8">
        <w:rPr>
          <w:b w:val="0"/>
          <w:szCs w:val="24"/>
        </w:rPr>
        <w:t xml:space="preserve"> la </w:t>
      </w:r>
      <w:proofErr w:type="spellStart"/>
      <w:r w:rsidRPr="00591BD8">
        <w:rPr>
          <w:b w:val="0"/>
          <w:szCs w:val="24"/>
        </w:rPr>
        <w:t>prueba</w:t>
      </w:r>
      <w:proofErr w:type="spellEnd"/>
      <w:r w:rsidRPr="00591BD8">
        <w:rPr>
          <w:b w:val="0"/>
          <w:szCs w:val="24"/>
        </w:rPr>
        <w:t xml:space="preserve"> de hypothesis </w:t>
      </w:r>
      <w:proofErr w:type="spellStart"/>
      <w:r w:rsidRPr="00591BD8">
        <w:rPr>
          <w:b w:val="0"/>
          <w:szCs w:val="24"/>
        </w:rPr>
        <w:t>mediante</w:t>
      </w:r>
      <w:proofErr w:type="spellEnd"/>
      <w:r w:rsidRPr="00591BD8">
        <w:rPr>
          <w:b w:val="0"/>
          <w:szCs w:val="24"/>
        </w:rPr>
        <w:t xml:space="preserve"> la </w:t>
      </w:r>
      <w:proofErr w:type="spellStart"/>
      <w:r w:rsidRPr="00591BD8">
        <w:rPr>
          <w:b w:val="0"/>
          <w:szCs w:val="24"/>
        </w:rPr>
        <w:t>prueba</w:t>
      </w:r>
      <w:proofErr w:type="spellEnd"/>
      <w:r w:rsidRPr="00591BD8">
        <w:rPr>
          <w:b w:val="0"/>
          <w:szCs w:val="24"/>
        </w:rPr>
        <w:t xml:space="preserve"> t y la </w:t>
      </w:r>
      <w:proofErr w:type="spellStart"/>
      <w:r w:rsidRPr="00591BD8">
        <w:rPr>
          <w:b w:val="0"/>
          <w:szCs w:val="24"/>
        </w:rPr>
        <w:t>prueba</w:t>
      </w:r>
      <w:proofErr w:type="spellEnd"/>
      <w:r w:rsidRPr="00591BD8">
        <w:rPr>
          <w:b w:val="0"/>
          <w:szCs w:val="24"/>
        </w:rPr>
        <w:t xml:space="preserve"> post hoc. La </w:t>
      </w:r>
      <w:proofErr w:type="spellStart"/>
      <w:r w:rsidRPr="00591BD8">
        <w:rPr>
          <w:b w:val="0"/>
          <w:szCs w:val="24"/>
        </w:rPr>
        <w:t>prueba</w:t>
      </w:r>
      <w:proofErr w:type="spellEnd"/>
      <w:r w:rsidRPr="00591BD8">
        <w:rPr>
          <w:b w:val="0"/>
          <w:szCs w:val="24"/>
        </w:rPr>
        <w:t xml:space="preserve"> t </w:t>
      </w:r>
      <w:proofErr w:type="spellStart"/>
      <w:r w:rsidRPr="00591BD8">
        <w:rPr>
          <w:b w:val="0"/>
          <w:szCs w:val="24"/>
        </w:rPr>
        <w:t>compara</w:t>
      </w:r>
      <w:proofErr w:type="spellEnd"/>
      <w:r w:rsidRPr="00591BD8">
        <w:rPr>
          <w:b w:val="0"/>
          <w:szCs w:val="24"/>
        </w:rPr>
        <w:t xml:space="preserve"> dos </w:t>
      </w:r>
      <w:proofErr w:type="spellStart"/>
      <w:r w:rsidRPr="00591BD8">
        <w:rPr>
          <w:b w:val="0"/>
          <w:szCs w:val="24"/>
        </w:rPr>
        <w:t>grupos</w:t>
      </w:r>
      <w:proofErr w:type="spellEnd"/>
      <w:r w:rsidRPr="00591BD8">
        <w:rPr>
          <w:b w:val="0"/>
          <w:szCs w:val="24"/>
        </w:rPr>
        <w:t xml:space="preserve"> de </w:t>
      </w:r>
      <w:proofErr w:type="spellStart"/>
      <w:r w:rsidRPr="00591BD8">
        <w:rPr>
          <w:b w:val="0"/>
          <w:szCs w:val="24"/>
        </w:rPr>
        <w:t>datos</w:t>
      </w:r>
      <w:proofErr w:type="spellEnd"/>
      <w:r w:rsidRPr="00591BD8">
        <w:rPr>
          <w:b w:val="0"/>
          <w:szCs w:val="24"/>
        </w:rPr>
        <w:t xml:space="preserve">, </w:t>
      </w:r>
      <w:proofErr w:type="spellStart"/>
      <w:r w:rsidRPr="00591BD8">
        <w:rPr>
          <w:b w:val="0"/>
          <w:szCs w:val="24"/>
        </w:rPr>
        <w:t>mientras</w:t>
      </w:r>
      <w:proofErr w:type="spellEnd"/>
      <w:r w:rsidRPr="00591BD8">
        <w:rPr>
          <w:b w:val="0"/>
          <w:szCs w:val="24"/>
        </w:rPr>
        <w:t xml:space="preserve"> que la </w:t>
      </w:r>
      <w:proofErr w:type="spellStart"/>
      <w:r w:rsidRPr="00591BD8">
        <w:rPr>
          <w:b w:val="0"/>
          <w:szCs w:val="24"/>
        </w:rPr>
        <w:t>prueba</w:t>
      </w:r>
      <w:proofErr w:type="spellEnd"/>
      <w:r w:rsidRPr="00591BD8">
        <w:rPr>
          <w:b w:val="0"/>
          <w:szCs w:val="24"/>
        </w:rPr>
        <w:t xml:space="preserve"> de </w:t>
      </w:r>
      <w:proofErr w:type="spellStart"/>
      <w:r w:rsidRPr="00591BD8">
        <w:rPr>
          <w:b w:val="0"/>
          <w:szCs w:val="24"/>
        </w:rPr>
        <w:t>regresión</w:t>
      </w:r>
      <w:proofErr w:type="spellEnd"/>
      <w:r w:rsidRPr="00591BD8">
        <w:rPr>
          <w:b w:val="0"/>
          <w:szCs w:val="24"/>
        </w:rPr>
        <w:t xml:space="preserve"> </w:t>
      </w:r>
      <w:proofErr w:type="spellStart"/>
      <w:r w:rsidRPr="00591BD8">
        <w:rPr>
          <w:b w:val="0"/>
          <w:szCs w:val="24"/>
        </w:rPr>
        <w:t>evalúa</w:t>
      </w:r>
      <w:proofErr w:type="spellEnd"/>
      <w:r w:rsidRPr="00591BD8">
        <w:rPr>
          <w:b w:val="0"/>
          <w:szCs w:val="24"/>
        </w:rPr>
        <w:t xml:space="preserve"> la </w:t>
      </w:r>
      <w:proofErr w:type="spellStart"/>
      <w:r w:rsidRPr="00591BD8">
        <w:rPr>
          <w:b w:val="0"/>
          <w:szCs w:val="24"/>
        </w:rPr>
        <w:t>relación</w:t>
      </w:r>
      <w:proofErr w:type="spellEnd"/>
      <w:r w:rsidRPr="00591BD8">
        <w:rPr>
          <w:b w:val="0"/>
          <w:szCs w:val="24"/>
        </w:rPr>
        <w:t xml:space="preserve"> entre dos variables. El </w:t>
      </w:r>
      <w:proofErr w:type="spellStart"/>
      <w:r w:rsidRPr="00591BD8">
        <w:rPr>
          <w:b w:val="0"/>
          <w:szCs w:val="24"/>
        </w:rPr>
        <w:t>análisis</w:t>
      </w:r>
      <w:proofErr w:type="spellEnd"/>
      <w:r w:rsidRPr="00591BD8">
        <w:rPr>
          <w:b w:val="0"/>
          <w:szCs w:val="24"/>
        </w:rPr>
        <w:t xml:space="preserve"> de </w:t>
      </w:r>
      <w:proofErr w:type="spellStart"/>
      <w:r w:rsidRPr="00591BD8">
        <w:rPr>
          <w:b w:val="0"/>
          <w:szCs w:val="24"/>
        </w:rPr>
        <w:t>datos</w:t>
      </w:r>
      <w:proofErr w:type="spellEnd"/>
      <w:r w:rsidRPr="00591BD8">
        <w:rPr>
          <w:b w:val="0"/>
          <w:szCs w:val="24"/>
        </w:rPr>
        <w:t xml:space="preserve"> </w:t>
      </w:r>
      <w:proofErr w:type="spellStart"/>
      <w:r w:rsidRPr="00591BD8">
        <w:rPr>
          <w:b w:val="0"/>
          <w:szCs w:val="24"/>
        </w:rPr>
        <w:t>mediante</w:t>
      </w:r>
      <w:proofErr w:type="spellEnd"/>
      <w:r w:rsidRPr="00591BD8">
        <w:rPr>
          <w:b w:val="0"/>
          <w:szCs w:val="24"/>
        </w:rPr>
        <w:t xml:space="preserve"> </w:t>
      </w:r>
      <w:proofErr w:type="spellStart"/>
      <w:r w:rsidRPr="00591BD8">
        <w:rPr>
          <w:b w:val="0"/>
          <w:szCs w:val="24"/>
        </w:rPr>
        <w:t>el</w:t>
      </w:r>
      <w:proofErr w:type="spellEnd"/>
      <w:r w:rsidRPr="00591BD8">
        <w:rPr>
          <w:b w:val="0"/>
          <w:szCs w:val="24"/>
        </w:rPr>
        <w:t xml:space="preserve"> </w:t>
      </w:r>
      <w:proofErr w:type="spellStart"/>
      <w:r w:rsidRPr="00591BD8">
        <w:rPr>
          <w:b w:val="0"/>
          <w:szCs w:val="24"/>
        </w:rPr>
        <w:t>programa</w:t>
      </w:r>
      <w:proofErr w:type="spellEnd"/>
      <w:r w:rsidRPr="00591BD8">
        <w:rPr>
          <w:b w:val="0"/>
          <w:szCs w:val="24"/>
        </w:rPr>
        <w:t xml:space="preserve"> SPSS </w:t>
      </w:r>
      <w:proofErr w:type="spellStart"/>
      <w:r w:rsidRPr="00591BD8">
        <w:rPr>
          <w:b w:val="0"/>
          <w:szCs w:val="24"/>
        </w:rPr>
        <w:t>implica</w:t>
      </w:r>
      <w:proofErr w:type="spellEnd"/>
      <w:r w:rsidRPr="00591BD8">
        <w:rPr>
          <w:b w:val="0"/>
          <w:szCs w:val="24"/>
        </w:rPr>
        <w:t xml:space="preserve"> </w:t>
      </w:r>
      <w:proofErr w:type="spellStart"/>
      <w:r w:rsidRPr="00591BD8">
        <w:rPr>
          <w:b w:val="0"/>
          <w:szCs w:val="24"/>
        </w:rPr>
        <w:t>el</w:t>
      </w:r>
      <w:proofErr w:type="spellEnd"/>
      <w:r w:rsidRPr="00591BD8">
        <w:rPr>
          <w:b w:val="0"/>
          <w:szCs w:val="24"/>
        </w:rPr>
        <w:t xml:space="preserve"> </w:t>
      </w:r>
      <w:proofErr w:type="spellStart"/>
      <w:r w:rsidRPr="00591BD8">
        <w:rPr>
          <w:b w:val="0"/>
          <w:szCs w:val="24"/>
        </w:rPr>
        <w:t>cálculo</w:t>
      </w:r>
      <w:proofErr w:type="spellEnd"/>
      <w:r w:rsidRPr="00591BD8">
        <w:rPr>
          <w:b w:val="0"/>
          <w:szCs w:val="24"/>
        </w:rPr>
        <w:t xml:space="preserve"> de </w:t>
      </w:r>
      <w:proofErr w:type="spellStart"/>
      <w:r w:rsidRPr="00591BD8">
        <w:rPr>
          <w:b w:val="0"/>
          <w:szCs w:val="24"/>
        </w:rPr>
        <w:t>frecuencias</w:t>
      </w:r>
      <w:proofErr w:type="spellEnd"/>
      <w:r w:rsidRPr="00591BD8">
        <w:rPr>
          <w:b w:val="0"/>
          <w:szCs w:val="24"/>
        </w:rPr>
        <w:t xml:space="preserve">, </w:t>
      </w:r>
      <w:proofErr w:type="spellStart"/>
      <w:r w:rsidRPr="00591BD8">
        <w:rPr>
          <w:b w:val="0"/>
          <w:szCs w:val="24"/>
        </w:rPr>
        <w:t>promedios</w:t>
      </w:r>
      <w:proofErr w:type="spellEnd"/>
      <w:r w:rsidRPr="00591BD8">
        <w:rPr>
          <w:b w:val="0"/>
          <w:szCs w:val="24"/>
        </w:rPr>
        <w:t xml:space="preserve"> y </w:t>
      </w:r>
      <w:proofErr w:type="spellStart"/>
      <w:r w:rsidRPr="00591BD8">
        <w:rPr>
          <w:b w:val="0"/>
          <w:szCs w:val="24"/>
        </w:rPr>
        <w:t>desviaciones</w:t>
      </w:r>
      <w:proofErr w:type="spellEnd"/>
      <w:r w:rsidRPr="00591BD8">
        <w:rPr>
          <w:b w:val="0"/>
          <w:szCs w:val="24"/>
        </w:rPr>
        <w:t xml:space="preserve"> </w:t>
      </w:r>
      <w:proofErr w:type="spellStart"/>
      <w:r w:rsidRPr="00591BD8">
        <w:rPr>
          <w:b w:val="0"/>
          <w:szCs w:val="24"/>
        </w:rPr>
        <w:t>estándar</w:t>
      </w:r>
      <w:proofErr w:type="spellEnd"/>
      <w:r w:rsidRPr="00591BD8">
        <w:rPr>
          <w:b w:val="0"/>
          <w:szCs w:val="24"/>
        </w:rPr>
        <w:t xml:space="preserve">. The data collection process was carried out by selecting the students as a second research categories and delivering </w:t>
      </w:r>
      <w:proofErr w:type="spellStart"/>
      <w:r w:rsidRPr="00591BD8">
        <w:rPr>
          <w:b w:val="0"/>
          <w:szCs w:val="24"/>
        </w:rPr>
        <w:t>cuestionarios</w:t>
      </w:r>
      <w:proofErr w:type="spellEnd"/>
      <w:r w:rsidRPr="00591BD8">
        <w:rPr>
          <w:b w:val="0"/>
          <w:szCs w:val="24"/>
        </w:rPr>
        <w:t xml:space="preserve"> on their cognitive psychology. La </w:t>
      </w:r>
      <w:proofErr w:type="spellStart"/>
      <w:r w:rsidRPr="00591BD8">
        <w:rPr>
          <w:b w:val="0"/>
          <w:szCs w:val="24"/>
        </w:rPr>
        <w:t>Figura</w:t>
      </w:r>
      <w:proofErr w:type="spellEnd"/>
      <w:r w:rsidRPr="00591BD8">
        <w:rPr>
          <w:b w:val="0"/>
          <w:szCs w:val="24"/>
        </w:rPr>
        <w:t xml:space="preserve"> 1 shows the procedures for </w:t>
      </w:r>
      <w:proofErr w:type="spellStart"/>
      <w:r w:rsidRPr="00591BD8">
        <w:rPr>
          <w:b w:val="0"/>
          <w:szCs w:val="24"/>
        </w:rPr>
        <w:t>recopilating</w:t>
      </w:r>
      <w:proofErr w:type="spellEnd"/>
      <w:r w:rsidRPr="00591BD8">
        <w:rPr>
          <w:b w:val="0"/>
          <w:szCs w:val="24"/>
        </w:rPr>
        <w:t xml:space="preserve"> data used in this study.</w:t>
      </w:r>
    </w:p>
    <w:p w14:paraId="781005AF" w14:textId="19B70921" w:rsidR="00FA39F0" w:rsidRPr="00591BD8" w:rsidRDefault="00FA39F0" w:rsidP="00BC4D19">
      <w:pPr>
        <w:pStyle w:val="E-JournalHeading1"/>
        <w:jc w:val="both"/>
      </w:pPr>
      <w:r w:rsidRPr="00591BD8">
        <w:t xml:space="preserve">           </w:t>
      </w:r>
      <w:r w:rsidRPr="00591BD8">
        <w:rPr>
          <w:noProof/>
          <w:sz w:val="20"/>
          <w:szCs w:val="20"/>
          <w:lang w:eastAsia="id-ID"/>
        </w:rPr>
        <w:drawing>
          <wp:inline distT="0" distB="0" distL="0" distR="0" wp14:anchorId="6022BC0F" wp14:editId="2F956E95">
            <wp:extent cx="4648200" cy="1263132"/>
            <wp:effectExtent l="19050" t="0" r="19050" b="0"/>
            <wp:docPr id="1568176001" name="Diagram 15681760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14B7026" w14:textId="68290729" w:rsidR="00A55776" w:rsidRPr="00591BD8" w:rsidRDefault="00A55776" w:rsidP="00BC4D19">
      <w:pPr>
        <w:pStyle w:val="E-JournalHeading1"/>
        <w:jc w:val="both"/>
      </w:pPr>
      <w:r w:rsidRPr="00591BD8">
        <w:tab/>
      </w:r>
      <w:r w:rsidRPr="00591BD8">
        <w:tab/>
      </w:r>
      <w:r w:rsidRPr="00591BD8">
        <w:tab/>
      </w:r>
      <w:r w:rsidRPr="00591BD8">
        <w:tab/>
      </w:r>
      <w:r w:rsidRPr="00591BD8">
        <w:tab/>
      </w:r>
      <w:r w:rsidRPr="00591BD8">
        <w:rPr>
          <w:b w:val="0"/>
          <w:bCs/>
        </w:rPr>
        <w:t>Figure 1.</w:t>
      </w:r>
      <w:r w:rsidRPr="00591BD8">
        <w:t xml:space="preserve"> </w:t>
      </w:r>
      <w:r w:rsidRPr="00591BD8">
        <w:rPr>
          <w:b w:val="0"/>
          <w:bCs/>
        </w:rPr>
        <w:t>Research procedure</w:t>
      </w:r>
    </w:p>
    <w:p w14:paraId="52F93FFD" w14:textId="77777777" w:rsidR="00BC4D19" w:rsidRPr="00591BD8" w:rsidRDefault="00BC4D19" w:rsidP="00BC4D19">
      <w:pPr>
        <w:pStyle w:val="E-JournalHeading1"/>
        <w:jc w:val="both"/>
        <w:rPr>
          <w:color w:val="70AD47" w:themeColor="accent6"/>
        </w:rPr>
      </w:pPr>
      <w:r w:rsidRPr="00591BD8">
        <w:rPr>
          <w:color w:val="70AD47" w:themeColor="accent6"/>
        </w:rPr>
        <w:t>RESULTS AND DISCUSSION</w:t>
      </w:r>
    </w:p>
    <w:p w14:paraId="15FF8A1E" w14:textId="77777777" w:rsidR="00FA39F0" w:rsidRPr="00591BD8" w:rsidRDefault="00FA39F0" w:rsidP="00FA39F0">
      <w:pPr>
        <w:pStyle w:val="E-JournalBody"/>
      </w:pPr>
      <w:r w:rsidRPr="00591BD8">
        <w:t>The results of the descriptive cognitive psychology of students in mathematics learning are presented.</w:t>
      </w:r>
    </w:p>
    <w:p w14:paraId="329C0493" w14:textId="50EE58A9" w:rsidR="00BC4D19" w:rsidRPr="00591BD8" w:rsidRDefault="00FA39F0" w:rsidP="00FA39F0">
      <w:pPr>
        <w:pStyle w:val="E-JournalBody"/>
        <w:rPr>
          <w:sz w:val="20"/>
          <w:szCs w:val="20"/>
        </w:rPr>
      </w:pPr>
      <w:r w:rsidRPr="00591BD8">
        <w:rPr>
          <w:sz w:val="20"/>
          <w:szCs w:val="20"/>
        </w:rPr>
        <w:t>Table 5. Descripción de las pruebas de psicología cognitiva de los estudiantes</w:t>
      </w:r>
    </w:p>
    <w:tbl>
      <w:tblPr>
        <w:tblW w:w="765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90"/>
        <w:gridCol w:w="567"/>
        <w:gridCol w:w="1194"/>
        <w:gridCol w:w="425"/>
        <w:gridCol w:w="851"/>
        <w:gridCol w:w="1417"/>
        <w:gridCol w:w="567"/>
        <w:gridCol w:w="709"/>
        <w:gridCol w:w="567"/>
        <w:gridCol w:w="567"/>
      </w:tblGrid>
      <w:tr w:rsidR="00BB4FDA" w:rsidRPr="00591BD8" w14:paraId="2A98317D" w14:textId="77777777" w:rsidTr="000475D4">
        <w:trPr>
          <w:jc w:val="center"/>
        </w:trPr>
        <w:tc>
          <w:tcPr>
            <w:tcW w:w="1357" w:type="dxa"/>
            <w:gridSpan w:val="2"/>
            <w:shd w:val="clear" w:color="auto" w:fill="auto"/>
            <w:vAlign w:val="center"/>
          </w:tcPr>
          <w:p w14:paraId="7A3F8202" w14:textId="77777777" w:rsidR="00BB4FDA" w:rsidRPr="00591BD8" w:rsidRDefault="00BB4FDA" w:rsidP="00BB4FDA">
            <w:pPr>
              <w:tabs>
                <w:tab w:val="left" w:pos="2410"/>
              </w:tabs>
              <w:spacing w:after="0"/>
              <w:jc w:val="center"/>
              <w:rPr>
                <w:rFonts w:ascii="Times New Roman" w:hAnsi="Times New Roman"/>
                <w:bCs/>
                <w:sz w:val="20"/>
                <w:szCs w:val="20"/>
              </w:rPr>
            </w:pPr>
            <w:bookmarkStart w:id="0" w:name="_Hlk171781259"/>
            <w:r w:rsidRPr="00591BD8">
              <w:rPr>
                <w:rFonts w:ascii="Times New Roman" w:hAnsi="Times New Roman"/>
                <w:bCs/>
                <w:sz w:val="20"/>
                <w:szCs w:val="20"/>
              </w:rPr>
              <w:t>Response to the student</w:t>
            </w:r>
          </w:p>
        </w:tc>
        <w:tc>
          <w:tcPr>
            <w:tcW w:w="1194" w:type="dxa"/>
            <w:tcBorders>
              <w:bottom w:val="single" w:sz="4" w:space="0" w:color="auto"/>
            </w:tcBorders>
            <w:shd w:val="clear" w:color="auto" w:fill="auto"/>
            <w:vAlign w:val="center"/>
          </w:tcPr>
          <w:p w14:paraId="716B7C70"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Intervals</w:t>
            </w:r>
          </w:p>
        </w:tc>
        <w:tc>
          <w:tcPr>
            <w:tcW w:w="425" w:type="dxa"/>
            <w:tcBorders>
              <w:bottom w:val="single" w:sz="4" w:space="0" w:color="auto"/>
            </w:tcBorders>
            <w:shd w:val="clear" w:color="auto" w:fill="auto"/>
            <w:vAlign w:val="center"/>
          </w:tcPr>
          <w:p w14:paraId="4391BC50"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F</w:t>
            </w:r>
          </w:p>
        </w:tc>
        <w:tc>
          <w:tcPr>
            <w:tcW w:w="851" w:type="dxa"/>
            <w:tcBorders>
              <w:bottom w:val="single" w:sz="4" w:space="0" w:color="auto"/>
            </w:tcBorders>
            <w:shd w:val="clear" w:color="auto" w:fill="auto"/>
            <w:vAlign w:val="center"/>
          </w:tcPr>
          <w:p w14:paraId="48F22AFE"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Porcentaje</w:t>
            </w:r>
            <w:proofErr w:type="spellEnd"/>
          </w:p>
        </w:tc>
        <w:tc>
          <w:tcPr>
            <w:tcW w:w="1417" w:type="dxa"/>
            <w:tcBorders>
              <w:bottom w:val="single" w:sz="4" w:space="0" w:color="auto"/>
            </w:tcBorders>
            <w:shd w:val="clear" w:color="auto" w:fill="auto"/>
            <w:vAlign w:val="center"/>
          </w:tcPr>
          <w:p w14:paraId="0D683BA0"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Categories</w:t>
            </w:r>
          </w:p>
        </w:tc>
        <w:tc>
          <w:tcPr>
            <w:tcW w:w="567" w:type="dxa"/>
            <w:shd w:val="clear" w:color="auto" w:fill="auto"/>
            <w:vAlign w:val="center"/>
          </w:tcPr>
          <w:p w14:paraId="72C42B6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Mean</w:t>
            </w:r>
          </w:p>
        </w:tc>
        <w:tc>
          <w:tcPr>
            <w:tcW w:w="709" w:type="dxa"/>
            <w:shd w:val="clear" w:color="auto" w:fill="auto"/>
            <w:vAlign w:val="center"/>
          </w:tcPr>
          <w:p w14:paraId="6AC33802"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Median</w:t>
            </w:r>
          </w:p>
        </w:tc>
        <w:tc>
          <w:tcPr>
            <w:tcW w:w="567" w:type="dxa"/>
            <w:shd w:val="clear" w:color="auto" w:fill="auto"/>
            <w:vAlign w:val="center"/>
          </w:tcPr>
          <w:p w14:paraId="5E489A23"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Min</w:t>
            </w:r>
          </w:p>
        </w:tc>
        <w:tc>
          <w:tcPr>
            <w:tcW w:w="567" w:type="dxa"/>
            <w:shd w:val="clear" w:color="auto" w:fill="auto"/>
            <w:vAlign w:val="center"/>
          </w:tcPr>
          <w:p w14:paraId="224E22C2"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Max</w:t>
            </w:r>
          </w:p>
        </w:tc>
      </w:tr>
      <w:tr w:rsidR="00BB4FDA" w:rsidRPr="00591BD8" w14:paraId="78DD916C" w14:textId="77777777" w:rsidTr="000475D4">
        <w:trPr>
          <w:jc w:val="center"/>
        </w:trPr>
        <w:tc>
          <w:tcPr>
            <w:tcW w:w="790" w:type="dxa"/>
            <w:vMerge w:val="restart"/>
            <w:shd w:val="clear" w:color="auto" w:fill="auto"/>
            <w:vAlign w:val="center"/>
          </w:tcPr>
          <w:p w14:paraId="2BAF470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 xml:space="preserve">SMPN 7 </w:t>
            </w:r>
            <w:proofErr w:type="spellStart"/>
            <w:r w:rsidRPr="00591BD8">
              <w:rPr>
                <w:rFonts w:ascii="Times New Roman" w:hAnsi="Times New Roman"/>
                <w:bCs/>
                <w:sz w:val="20"/>
                <w:szCs w:val="20"/>
              </w:rPr>
              <w:t>Muaro</w:t>
            </w:r>
            <w:proofErr w:type="spellEnd"/>
            <w:r w:rsidRPr="00591BD8">
              <w:rPr>
                <w:rFonts w:ascii="Times New Roman" w:hAnsi="Times New Roman"/>
                <w:bCs/>
                <w:sz w:val="20"/>
                <w:szCs w:val="20"/>
              </w:rPr>
              <w:t xml:space="preserve"> Jambi</w:t>
            </w:r>
          </w:p>
        </w:tc>
        <w:tc>
          <w:tcPr>
            <w:tcW w:w="567" w:type="dxa"/>
            <w:vMerge w:val="restart"/>
            <w:shd w:val="clear" w:color="auto" w:fill="auto"/>
            <w:vAlign w:val="center"/>
          </w:tcPr>
          <w:p w14:paraId="7E4591D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VIIA</w:t>
            </w:r>
          </w:p>
        </w:tc>
        <w:tc>
          <w:tcPr>
            <w:tcW w:w="1194" w:type="dxa"/>
            <w:tcBorders>
              <w:bottom w:val="nil"/>
            </w:tcBorders>
            <w:shd w:val="clear" w:color="auto" w:fill="auto"/>
          </w:tcPr>
          <w:p w14:paraId="4DF9CAD0"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36.0 – 63.1</w:t>
            </w:r>
          </w:p>
        </w:tc>
        <w:tc>
          <w:tcPr>
            <w:tcW w:w="425" w:type="dxa"/>
            <w:tcBorders>
              <w:bottom w:val="nil"/>
            </w:tcBorders>
            <w:shd w:val="clear" w:color="auto" w:fill="auto"/>
          </w:tcPr>
          <w:p w14:paraId="02E66D66"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0</w:t>
            </w:r>
          </w:p>
        </w:tc>
        <w:tc>
          <w:tcPr>
            <w:tcW w:w="851" w:type="dxa"/>
            <w:tcBorders>
              <w:bottom w:val="nil"/>
            </w:tcBorders>
            <w:shd w:val="clear" w:color="auto" w:fill="auto"/>
          </w:tcPr>
          <w:p w14:paraId="5CFFA1B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0%</w:t>
            </w:r>
          </w:p>
        </w:tc>
        <w:tc>
          <w:tcPr>
            <w:tcW w:w="1417" w:type="dxa"/>
            <w:tcBorders>
              <w:bottom w:val="nil"/>
            </w:tcBorders>
            <w:shd w:val="clear" w:color="auto" w:fill="auto"/>
          </w:tcPr>
          <w:p w14:paraId="55ECDF00"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Muy no bueno</w:t>
            </w:r>
          </w:p>
        </w:tc>
        <w:tc>
          <w:tcPr>
            <w:tcW w:w="567" w:type="dxa"/>
            <w:vMerge w:val="restart"/>
            <w:shd w:val="clear" w:color="auto" w:fill="auto"/>
          </w:tcPr>
          <w:p w14:paraId="7B33DFD5" w14:textId="77777777" w:rsidR="00BB4FDA" w:rsidRPr="00591BD8" w:rsidRDefault="00BB4FDA" w:rsidP="00BB4FDA">
            <w:pPr>
              <w:tabs>
                <w:tab w:val="left" w:pos="2410"/>
              </w:tabs>
              <w:spacing w:after="0"/>
              <w:jc w:val="center"/>
              <w:rPr>
                <w:rFonts w:ascii="Times New Roman" w:hAnsi="Times New Roman"/>
                <w:bCs/>
                <w:sz w:val="20"/>
                <w:szCs w:val="20"/>
              </w:rPr>
            </w:pPr>
          </w:p>
          <w:p w14:paraId="101EF09C" w14:textId="77777777" w:rsidR="00BB4FDA" w:rsidRPr="00591BD8" w:rsidRDefault="00BB4FDA" w:rsidP="00BB4FDA">
            <w:pPr>
              <w:tabs>
                <w:tab w:val="left" w:pos="2410"/>
              </w:tabs>
              <w:spacing w:after="0"/>
              <w:jc w:val="center"/>
              <w:rPr>
                <w:rFonts w:ascii="Times New Roman" w:hAnsi="Times New Roman"/>
                <w:bCs/>
                <w:sz w:val="20"/>
                <w:szCs w:val="20"/>
              </w:rPr>
            </w:pPr>
          </w:p>
          <w:p w14:paraId="0E013876"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3.20</w:t>
            </w:r>
          </w:p>
        </w:tc>
        <w:tc>
          <w:tcPr>
            <w:tcW w:w="709" w:type="dxa"/>
            <w:vMerge w:val="restart"/>
            <w:shd w:val="clear" w:color="auto" w:fill="auto"/>
          </w:tcPr>
          <w:p w14:paraId="5FDFCBA6" w14:textId="77777777" w:rsidR="00BB4FDA" w:rsidRPr="00591BD8" w:rsidRDefault="00BB4FDA" w:rsidP="00BB4FDA">
            <w:pPr>
              <w:tabs>
                <w:tab w:val="left" w:pos="2410"/>
              </w:tabs>
              <w:spacing w:after="0"/>
              <w:jc w:val="center"/>
              <w:rPr>
                <w:rFonts w:ascii="Times New Roman" w:hAnsi="Times New Roman"/>
                <w:bCs/>
                <w:sz w:val="20"/>
                <w:szCs w:val="20"/>
              </w:rPr>
            </w:pPr>
          </w:p>
          <w:p w14:paraId="279495C5" w14:textId="77777777" w:rsidR="00BB4FDA" w:rsidRPr="00591BD8" w:rsidRDefault="00BB4FDA" w:rsidP="00BB4FDA">
            <w:pPr>
              <w:tabs>
                <w:tab w:val="left" w:pos="2410"/>
              </w:tabs>
              <w:spacing w:after="0"/>
              <w:jc w:val="center"/>
              <w:rPr>
                <w:rFonts w:ascii="Times New Roman" w:hAnsi="Times New Roman"/>
                <w:bCs/>
                <w:sz w:val="20"/>
                <w:szCs w:val="20"/>
              </w:rPr>
            </w:pPr>
          </w:p>
          <w:p w14:paraId="0A4260B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3.00</w:t>
            </w:r>
          </w:p>
        </w:tc>
        <w:tc>
          <w:tcPr>
            <w:tcW w:w="567" w:type="dxa"/>
            <w:vMerge w:val="restart"/>
            <w:shd w:val="clear" w:color="auto" w:fill="auto"/>
          </w:tcPr>
          <w:p w14:paraId="2F84FE29" w14:textId="77777777" w:rsidR="00BB4FDA" w:rsidRPr="00591BD8" w:rsidRDefault="00BB4FDA" w:rsidP="00BB4FDA">
            <w:pPr>
              <w:tabs>
                <w:tab w:val="left" w:pos="2410"/>
              </w:tabs>
              <w:spacing w:after="0"/>
              <w:jc w:val="center"/>
              <w:rPr>
                <w:rFonts w:ascii="Times New Roman" w:hAnsi="Times New Roman"/>
                <w:bCs/>
                <w:sz w:val="20"/>
                <w:szCs w:val="20"/>
              </w:rPr>
            </w:pPr>
          </w:p>
          <w:p w14:paraId="1C172EC8" w14:textId="77777777" w:rsidR="00BB4FDA" w:rsidRPr="00591BD8" w:rsidRDefault="00BB4FDA" w:rsidP="00BB4FDA">
            <w:pPr>
              <w:tabs>
                <w:tab w:val="left" w:pos="2410"/>
              </w:tabs>
              <w:spacing w:after="0"/>
              <w:jc w:val="center"/>
              <w:rPr>
                <w:rFonts w:ascii="Times New Roman" w:hAnsi="Times New Roman"/>
                <w:bCs/>
                <w:sz w:val="20"/>
                <w:szCs w:val="20"/>
              </w:rPr>
            </w:pPr>
          </w:p>
          <w:p w14:paraId="406A77D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2.00</w:t>
            </w:r>
          </w:p>
          <w:p w14:paraId="4F851E85"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val="restart"/>
            <w:shd w:val="clear" w:color="auto" w:fill="auto"/>
          </w:tcPr>
          <w:p w14:paraId="40F0A7DD" w14:textId="77777777" w:rsidR="00BB4FDA" w:rsidRPr="00591BD8" w:rsidRDefault="00BB4FDA" w:rsidP="00BB4FDA">
            <w:pPr>
              <w:tabs>
                <w:tab w:val="left" w:pos="2410"/>
              </w:tabs>
              <w:spacing w:after="0"/>
              <w:jc w:val="center"/>
              <w:rPr>
                <w:rFonts w:ascii="Times New Roman" w:hAnsi="Times New Roman"/>
                <w:bCs/>
                <w:sz w:val="20"/>
                <w:szCs w:val="20"/>
              </w:rPr>
            </w:pPr>
          </w:p>
          <w:p w14:paraId="6B649110" w14:textId="77777777" w:rsidR="00BB4FDA" w:rsidRPr="00591BD8" w:rsidRDefault="00BB4FDA" w:rsidP="00BB4FDA">
            <w:pPr>
              <w:tabs>
                <w:tab w:val="left" w:pos="2410"/>
              </w:tabs>
              <w:spacing w:after="0"/>
              <w:jc w:val="center"/>
              <w:rPr>
                <w:rFonts w:ascii="Times New Roman" w:hAnsi="Times New Roman"/>
                <w:bCs/>
                <w:sz w:val="20"/>
                <w:szCs w:val="20"/>
              </w:rPr>
            </w:pPr>
          </w:p>
          <w:p w14:paraId="0C1E137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4.00</w:t>
            </w:r>
          </w:p>
        </w:tc>
      </w:tr>
      <w:tr w:rsidR="00BB4FDA" w:rsidRPr="00591BD8" w14:paraId="2D3DE221" w14:textId="77777777" w:rsidTr="000475D4">
        <w:trPr>
          <w:jc w:val="center"/>
        </w:trPr>
        <w:tc>
          <w:tcPr>
            <w:tcW w:w="790" w:type="dxa"/>
            <w:vMerge/>
            <w:shd w:val="clear" w:color="auto" w:fill="auto"/>
            <w:vAlign w:val="center"/>
          </w:tcPr>
          <w:p w14:paraId="6720CA3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6FFB05C8"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bottom w:val="nil"/>
            </w:tcBorders>
            <w:shd w:val="clear" w:color="auto" w:fill="auto"/>
          </w:tcPr>
          <w:p w14:paraId="0C19CD62"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63.1 – 90.0</w:t>
            </w:r>
          </w:p>
        </w:tc>
        <w:tc>
          <w:tcPr>
            <w:tcW w:w="425" w:type="dxa"/>
            <w:tcBorders>
              <w:top w:val="nil"/>
              <w:bottom w:val="nil"/>
            </w:tcBorders>
            <w:shd w:val="clear" w:color="auto" w:fill="auto"/>
          </w:tcPr>
          <w:p w14:paraId="54E8E8AA"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w:t>
            </w:r>
          </w:p>
        </w:tc>
        <w:tc>
          <w:tcPr>
            <w:tcW w:w="851" w:type="dxa"/>
            <w:tcBorders>
              <w:top w:val="nil"/>
              <w:bottom w:val="nil"/>
            </w:tcBorders>
            <w:shd w:val="clear" w:color="auto" w:fill="auto"/>
          </w:tcPr>
          <w:p w14:paraId="0632A73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10%</w:t>
            </w:r>
          </w:p>
        </w:tc>
        <w:tc>
          <w:tcPr>
            <w:tcW w:w="1417" w:type="dxa"/>
            <w:tcBorders>
              <w:top w:val="nil"/>
              <w:bottom w:val="nil"/>
            </w:tcBorders>
            <w:shd w:val="clear" w:color="auto" w:fill="auto"/>
          </w:tcPr>
          <w:p w14:paraId="60459A35"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tcPr>
          <w:p w14:paraId="6939CA0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69095D04"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27424BC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3562E026"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1065FCD1" w14:textId="77777777" w:rsidTr="000475D4">
        <w:trPr>
          <w:jc w:val="center"/>
        </w:trPr>
        <w:tc>
          <w:tcPr>
            <w:tcW w:w="790" w:type="dxa"/>
            <w:vMerge/>
            <w:shd w:val="clear" w:color="auto" w:fill="auto"/>
            <w:vAlign w:val="center"/>
          </w:tcPr>
          <w:p w14:paraId="3A18DB0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6697DA4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bottom w:val="nil"/>
            </w:tcBorders>
            <w:shd w:val="clear" w:color="auto" w:fill="auto"/>
          </w:tcPr>
          <w:p w14:paraId="6A9EF412"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90.1 – 117.0</w:t>
            </w:r>
          </w:p>
        </w:tc>
        <w:tc>
          <w:tcPr>
            <w:tcW w:w="425" w:type="dxa"/>
            <w:tcBorders>
              <w:top w:val="nil"/>
              <w:bottom w:val="nil"/>
            </w:tcBorders>
            <w:shd w:val="clear" w:color="auto" w:fill="auto"/>
          </w:tcPr>
          <w:p w14:paraId="6F063B8A"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11</w:t>
            </w:r>
          </w:p>
        </w:tc>
        <w:tc>
          <w:tcPr>
            <w:tcW w:w="851" w:type="dxa"/>
            <w:tcBorders>
              <w:top w:val="nil"/>
              <w:bottom w:val="nil"/>
            </w:tcBorders>
            <w:shd w:val="clear" w:color="auto" w:fill="auto"/>
          </w:tcPr>
          <w:p w14:paraId="5D2717A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55%</w:t>
            </w:r>
          </w:p>
        </w:tc>
        <w:tc>
          <w:tcPr>
            <w:tcW w:w="1417" w:type="dxa"/>
            <w:tcBorders>
              <w:top w:val="nil"/>
              <w:bottom w:val="nil"/>
            </w:tcBorders>
            <w:shd w:val="clear" w:color="auto" w:fill="auto"/>
          </w:tcPr>
          <w:p w14:paraId="3FC2C7D1"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tcPr>
          <w:p w14:paraId="2E788394"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605C98C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5B5D3C11"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22D6401A"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2E68D86F" w14:textId="77777777" w:rsidTr="000475D4">
        <w:trPr>
          <w:jc w:val="center"/>
        </w:trPr>
        <w:tc>
          <w:tcPr>
            <w:tcW w:w="790" w:type="dxa"/>
            <w:vMerge/>
            <w:shd w:val="clear" w:color="auto" w:fill="auto"/>
            <w:vAlign w:val="center"/>
          </w:tcPr>
          <w:p w14:paraId="33A0897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30C63BC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tcBorders>
            <w:shd w:val="clear" w:color="auto" w:fill="auto"/>
          </w:tcPr>
          <w:p w14:paraId="3FF0E956"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117.1 –144.0</w:t>
            </w:r>
          </w:p>
        </w:tc>
        <w:tc>
          <w:tcPr>
            <w:tcW w:w="425" w:type="dxa"/>
            <w:tcBorders>
              <w:top w:val="nil"/>
            </w:tcBorders>
            <w:shd w:val="clear" w:color="auto" w:fill="auto"/>
          </w:tcPr>
          <w:p w14:paraId="1834551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7</w:t>
            </w:r>
          </w:p>
        </w:tc>
        <w:tc>
          <w:tcPr>
            <w:tcW w:w="851" w:type="dxa"/>
            <w:tcBorders>
              <w:top w:val="nil"/>
            </w:tcBorders>
            <w:shd w:val="clear" w:color="auto" w:fill="auto"/>
          </w:tcPr>
          <w:p w14:paraId="2AB247A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35%</w:t>
            </w:r>
          </w:p>
        </w:tc>
        <w:tc>
          <w:tcPr>
            <w:tcW w:w="1417" w:type="dxa"/>
            <w:tcBorders>
              <w:top w:val="nil"/>
            </w:tcBorders>
            <w:shd w:val="clear" w:color="auto" w:fill="auto"/>
          </w:tcPr>
          <w:p w14:paraId="14748148"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Muy bien</w:t>
            </w:r>
          </w:p>
        </w:tc>
        <w:tc>
          <w:tcPr>
            <w:tcW w:w="567" w:type="dxa"/>
            <w:vMerge/>
            <w:shd w:val="clear" w:color="auto" w:fill="auto"/>
          </w:tcPr>
          <w:p w14:paraId="54905AE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40FD4A0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500CF7A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1C84D194"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4130A0DD" w14:textId="77777777" w:rsidTr="000475D4">
        <w:trPr>
          <w:jc w:val="center"/>
        </w:trPr>
        <w:tc>
          <w:tcPr>
            <w:tcW w:w="790" w:type="dxa"/>
            <w:vMerge/>
            <w:shd w:val="clear" w:color="auto" w:fill="auto"/>
            <w:vAlign w:val="center"/>
          </w:tcPr>
          <w:p w14:paraId="0743E09C"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val="restart"/>
            <w:shd w:val="clear" w:color="auto" w:fill="auto"/>
            <w:vAlign w:val="center"/>
          </w:tcPr>
          <w:p w14:paraId="520C82A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VIIB</w:t>
            </w:r>
          </w:p>
        </w:tc>
        <w:tc>
          <w:tcPr>
            <w:tcW w:w="1194" w:type="dxa"/>
            <w:tcBorders>
              <w:bottom w:val="nil"/>
            </w:tcBorders>
            <w:shd w:val="clear" w:color="auto" w:fill="auto"/>
          </w:tcPr>
          <w:p w14:paraId="44FE4E63"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36.0 – 63.1</w:t>
            </w:r>
          </w:p>
        </w:tc>
        <w:tc>
          <w:tcPr>
            <w:tcW w:w="425" w:type="dxa"/>
            <w:tcBorders>
              <w:bottom w:val="nil"/>
            </w:tcBorders>
            <w:shd w:val="clear" w:color="auto" w:fill="auto"/>
          </w:tcPr>
          <w:p w14:paraId="6B120B7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0</w:t>
            </w:r>
          </w:p>
        </w:tc>
        <w:tc>
          <w:tcPr>
            <w:tcW w:w="851" w:type="dxa"/>
            <w:tcBorders>
              <w:bottom w:val="nil"/>
            </w:tcBorders>
            <w:shd w:val="clear" w:color="auto" w:fill="auto"/>
          </w:tcPr>
          <w:p w14:paraId="2E4FF7A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0%</w:t>
            </w:r>
          </w:p>
        </w:tc>
        <w:tc>
          <w:tcPr>
            <w:tcW w:w="1417" w:type="dxa"/>
            <w:tcBorders>
              <w:bottom w:val="nil"/>
            </w:tcBorders>
            <w:shd w:val="clear" w:color="auto" w:fill="auto"/>
          </w:tcPr>
          <w:p w14:paraId="4CDDA175"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Muy no bueno</w:t>
            </w:r>
          </w:p>
        </w:tc>
        <w:tc>
          <w:tcPr>
            <w:tcW w:w="567" w:type="dxa"/>
            <w:vMerge w:val="restart"/>
            <w:shd w:val="clear" w:color="auto" w:fill="auto"/>
          </w:tcPr>
          <w:p w14:paraId="6D87D7C6" w14:textId="77777777" w:rsidR="00BB4FDA" w:rsidRPr="00591BD8" w:rsidRDefault="00BB4FDA" w:rsidP="00BB4FDA">
            <w:pPr>
              <w:tabs>
                <w:tab w:val="left" w:pos="2410"/>
              </w:tabs>
              <w:spacing w:after="0"/>
              <w:jc w:val="center"/>
              <w:rPr>
                <w:rFonts w:ascii="Times New Roman" w:hAnsi="Times New Roman"/>
                <w:bCs/>
                <w:sz w:val="20"/>
                <w:szCs w:val="20"/>
              </w:rPr>
            </w:pPr>
          </w:p>
          <w:p w14:paraId="0F6DB1B5" w14:textId="77777777" w:rsidR="00BB4FDA" w:rsidRPr="00591BD8" w:rsidRDefault="00BB4FDA" w:rsidP="00BB4FDA">
            <w:pPr>
              <w:tabs>
                <w:tab w:val="left" w:pos="2410"/>
              </w:tabs>
              <w:spacing w:after="0"/>
              <w:jc w:val="center"/>
              <w:rPr>
                <w:rFonts w:ascii="Times New Roman" w:hAnsi="Times New Roman"/>
                <w:bCs/>
                <w:sz w:val="20"/>
                <w:szCs w:val="20"/>
              </w:rPr>
            </w:pPr>
          </w:p>
          <w:p w14:paraId="7E471A1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3.10</w:t>
            </w:r>
          </w:p>
        </w:tc>
        <w:tc>
          <w:tcPr>
            <w:tcW w:w="709" w:type="dxa"/>
            <w:vMerge w:val="restart"/>
            <w:shd w:val="clear" w:color="auto" w:fill="auto"/>
          </w:tcPr>
          <w:p w14:paraId="08C093B7" w14:textId="77777777" w:rsidR="00BB4FDA" w:rsidRPr="00591BD8" w:rsidRDefault="00BB4FDA" w:rsidP="00BB4FDA">
            <w:pPr>
              <w:tabs>
                <w:tab w:val="left" w:pos="2410"/>
              </w:tabs>
              <w:spacing w:after="0"/>
              <w:jc w:val="center"/>
              <w:rPr>
                <w:rFonts w:ascii="Times New Roman" w:hAnsi="Times New Roman"/>
                <w:bCs/>
                <w:sz w:val="20"/>
                <w:szCs w:val="20"/>
              </w:rPr>
            </w:pPr>
          </w:p>
          <w:p w14:paraId="5EEF7F29" w14:textId="77777777" w:rsidR="00BB4FDA" w:rsidRPr="00591BD8" w:rsidRDefault="00BB4FDA" w:rsidP="00BB4FDA">
            <w:pPr>
              <w:tabs>
                <w:tab w:val="left" w:pos="2410"/>
              </w:tabs>
              <w:spacing w:after="0"/>
              <w:jc w:val="center"/>
              <w:rPr>
                <w:rFonts w:ascii="Times New Roman" w:hAnsi="Times New Roman"/>
                <w:bCs/>
                <w:sz w:val="20"/>
                <w:szCs w:val="20"/>
              </w:rPr>
            </w:pPr>
          </w:p>
          <w:p w14:paraId="24EE4421"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3.00</w:t>
            </w:r>
          </w:p>
        </w:tc>
        <w:tc>
          <w:tcPr>
            <w:tcW w:w="567" w:type="dxa"/>
            <w:vMerge w:val="restart"/>
            <w:shd w:val="clear" w:color="auto" w:fill="auto"/>
          </w:tcPr>
          <w:p w14:paraId="63B85F9B" w14:textId="77777777" w:rsidR="00BB4FDA" w:rsidRPr="00591BD8" w:rsidRDefault="00BB4FDA" w:rsidP="00BB4FDA">
            <w:pPr>
              <w:tabs>
                <w:tab w:val="left" w:pos="2410"/>
              </w:tabs>
              <w:spacing w:after="0"/>
              <w:jc w:val="center"/>
              <w:rPr>
                <w:rFonts w:ascii="Times New Roman" w:hAnsi="Times New Roman"/>
                <w:bCs/>
                <w:sz w:val="20"/>
                <w:szCs w:val="20"/>
              </w:rPr>
            </w:pPr>
          </w:p>
          <w:p w14:paraId="3338B14C" w14:textId="77777777" w:rsidR="00BB4FDA" w:rsidRPr="00591BD8" w:rsidRDefault="00BB4FDA" w:rsidP="00BB4FDA">
            <w:pPr>
              <w:tabs>
                <w:tab w:val="left" w:pos="2410"/>
              </w:tabs>
              <w:spacing w:after="0"/>
              <w:jc w:val="center"/>
              <w:rPr>
                <w:rFonts w:ascii="Times New Roman" w:hAnsi="Times New Roman"/>
                <w:bCs/>
                <w:sz w:val="20"/>
                <w:szCs w:val="20"/>
              </w:rPr>
            </w:pPr>
          </w:p>
          <w:p w14:paraId="20F6915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2.00</w:t>
            </w:r>
          </w:p>
          <w:p w14:paraId="2E32A38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val="restart"/>
            <w:shd w:val="clear" w:color="auto" w:fill="auto"/>
          </w:tcPr>
          <w:p w14:paraId="67B9361B" w14:textId="77777777" w:rsidR="00BB4FDA" w:rsidRPr="00591BD8" w:rsidRDefault="00BB4FDA" w:rsidP="00BB4FDA">
            <w:pPr>
              <w:tabs>
                <w:tab w:val="left" w:pos="2410"/>
              </w:tabs>
              <w:spacing w:after="0"/>
              <w:jc w:val="center"/>
              <w:rPr>
                <w:rFonts w:ascii="Times New Roman" w:hAnsi="Times New Roman"/>
                <w:bCs/>
                <w:sz w:val="20"/>
                <w:szCs w:val="20"/>
              </w:rPr>
            </w:pPr>
          </w:p>
          <w:p w14:paraId="475D9A80" w14:textId="77777777" w:rsidR="00BB4FDA" w:rsidRPr="00591BD8" w:rsidRDefault="00BB4FDA" w:rsidP="00BB4FDA">
            <w:pPr>
              <w:tabs>
                <w:tab w:val="left" w:pos="2410"/>
              </w:tabs>
              <w:spacing w:after="0"/>
              <w:jc w:val="center"/>
              <w:rPr>
                <w:rFonts w:ascii="Times New Roman" w:hAnsi="Times New Roman"/>
                <w:bCs/>
                <w:sz w:val="20"/>
                <w:szCs w:val="20"/>
              </w:rPr>
            </w:pPr>
          </w:p>
          <w:p w14:paraId="6CFD018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4.00</w:t>
            </w:r>
          </w:p>
        </w:tc>
      </w:tr>
      <w:tr w:rsidR="00BB4FDA" w:rsidRPr="00591BD8" w14:paraId="5C089B6D" w14:textId="77777777" w:rsidTr="000475D4">
        <w:trPr>
          <w:jc w:val="center"/>
        </w:trPr>
        <w:tc>
          <w:tcPr>
            <w:tcW w:w="790" w:type="dxa"/>
            <w:vMerge/>
            <w:shd w:val="clear" w:color="auto" w:fill="auto"/>
            <w:vAlign w:val="center"/>
          </w:tcPr>
          <w:p w14:paraId="01980BD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410AEA8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bottom w:val="nil"/>
            </w:tcBorders>
            <w:shd w:val="clear" w:color="auto" w:fill="auto"/>
          </w:tcPr>
          <w:p w14:paraId="5AD347EE"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63.1 – 90.0</w:t>
            </w:r>
          </w:p>
        </w:tc>
        <w:tc>
          <w:tcPr>
            <w:tcW w:w="425" w:type="dxa"/>
            <w:tcBorders>
              <w:top w:val="nil"/>
              <w:bottom w:val="nil"/>
            </w:tcBorders>
            <w:shd w:val="clear" w:color="auto" w:fill="auto"/>
          </w:tcPr>
          <w:p w14:paraId="767B5E6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w:t>
            </w:r>
          </w:p>
        </w:tc>
        <w:tc>
          <w:tcPr>
            <w:tcW w:w="851" w:type="dxa"/>
            <w:tcBorders>
              <w:top w:val="nil"/>
              <w:bottom w:val="nil"/>
            </w:tcBorders>
            <w:shd w:val="clear" w:color="auto" w:fill="auto"/>
          </w:tcPr>
          <w:p w14:paraId="75E2B48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20%</w:t>
            </w:r>
          </w:p>
        </w:tc>
        <w:tc>
          <w:tcPr>
            <w:tcW w:w="1417" w:type="dxa"/>
            <w:tcBorders>
              <w:top w:val="nil"/>
              <w:bottom w:val="nil"/>
            </w:tcBorders>
            <w:shd w:val="clear" w:color="auto" w:fill="auto"/>
          </w:tcPr>
          <w:p w14:paraId="1534373F"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tcPr>
          <w:p w14:paraId="0F383924"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7AF4D7F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1E0E204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1EF9463F"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211F1176" w14:textId="77777777" w:rsidTr="000475D4">
        <w:trPr>
          <w:jc w:val="center"/>
        </w:trPr>
        <w:tc>
          <w:tcPr>
            <w:tcW w:w="790" w:type="dxa"/>
            <w:vMerge/>
            <w:shd w:val="clear" w:color="auto" w:fill="auto"/>
            <w:vAlign w:val="center"/>
          </w:tcPr>
          <w:p w14:paraId="513F9BC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10492DA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bottom w:val="nil"/>
            </w:tcBorders>
            <w:shd w:val="clear" w:color="auto" w:fill="auto"/>
          </w:tcPr>
          <w:p w14:paraId="6269A7F3"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90.1 – 117.0</w:t>
            </w:r>
          </w:p>
        </w:tc>
        <w:tc>
          <w:tcPr>
            <w:tcW w:w="425" w:type="dxa"/>
            <w:tcBorders>
              <w:top w:val="nil"/>
              <w:bottom w:val="nil"/>
            </w:tcBorders>
            <w:shd w:val="clear" w:color="auto" w:fill="auto"/>
          </w:tcPr>
          <w:p w14:paraId="0A5D034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9</w:t>
            </w:r>
          </w:p>
        </w:tc>
        <w:tc>
          <w:tcPr>
            <w:tcW w:w="851" w:type="dxa"/>
            <w:tcBorders>
              <w:top w:val="nil"/>
              <w:bottom w:val="nil"/>
            </w:tcBorders>
            <w:shd w:val="clear" w:color="auto" w:fill="auto"/>
          </w:tcPr>
          <w:p w14:paraId="2D5360C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45%</w:t>
            </w:r>
          </w:p>
        </w:tc>
        <w:tc>
          <w:tcPr>
            <w:tcW w:w="1417" w:type="dxa"/>
            <w:tcBorders>
              <w:top w:val="nil"/>
              <w:bottom w:val="nil"/>
            </w:tcBorders>
            <w:shd w:val="clear" w:color="auto" w:fill="auto"/>
          </w:tcPr>
          <w:p w14:paraId="72B4B604"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tcPr>
          <w:p w14:paraId="19B79DBC"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342AE68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6CDA897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16D9159E"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22D6A1E1" w14:textId="77777777" w:rsidTr="000475D4">
        <w:trPr>
          <w:jc w:val="center"/>
        </w:trPr>
        <w:tc>
          <w:tcPr>
            <w:tcW w:w="790" w:type="dxa"/>
            <w:vMerge/>
            <w:shd w:val="clear" w:color="auto" w:fill="auto"/>
            <w:vAlign w:val="center"/>
          </w:tcPr>
          <w:p w14:paraId="3FEDA52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1AE56F0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bottom w:val="single" w:sz="4" w:space="0" w:color="auto"/>
            </w:tcBorders>
            <w:shd w:val="clear" w:color="auto" w:fill="auto"/>
          </w:tcPr>
          <w:p w14:paraId="6EE06F26"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117.1 –144.0</w:t>
            </w:r>
          </w:p>
        </w:tc>
        <w:tc>
          <w:tcPr>
            <w:tcW w:w="425" w:type="dxa"/>
            <w:tcBorders>
              <w:top w:val="nil"/>
              <w:bottom w:val="single" w:sz="4" w:space="0" w:color="auto"/>
            </w:tcBorders>
            <w:shd w:val="clear" w:color="auto" w:fill="auto"/>
          </w:tcPr>
          <w:p w14:paraId="3314F353"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7</w:t>
            </w:r>
          </w:p>
        </w:tc>
        <w:tc>
          <w:tcPr>
            <w:tcW w:w="851" w:type="dxa"/>
            <w:tcBorders>
              <w:top w:val="nil"/>
              <w:bottom w:val="single" w:sz="4" w:space="0" w:color="auto"/>
            </w:tcBorders>
            <w:shd w:val="clear" w:color="auto" w:fill="auto"/>
          </w:tcPr>
          <w:p w14:paraId="45C78DF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35%</w:t>
            </w:r>
          </w:p>
        </w:tc>
        <w:tc>
          <w:tcPr>
            <w:tcW w:w="1417" w:type="dxa"/>
            <w:tcBorders>
              <w:top w:val="nil"/>
              <w:bottom w:val="single" w:sz="4" w:space="0" w:color="auto"/>
            </w:tcBorders>
            <w:shd w:val="clear" w:color="auto" w:fill="auto"/>
          </w:tcPr>
          <w:p w14:paraId="139F371F"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Muy bien</w:t>
            </w:r>
          </w:p>
        </w:tc>
        <w:tc>
          <w:tcPr>
            <w:tcW w:w="567" w:type="dxa"/>
            <w:vMerge/>
            <w:shd w:val="clear" w:color="auto" w:fill="auto"/>
          </w:tcPr>
          <w:p w14:paraId="5E125EA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01C6F874"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4936394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404143E6"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24DDDDDB" w14:textId="77777777" w:rsidTr="000475D4">
        <w:trPr>
          <w:jc w:val="center"/>
        </w:trPr>
        <w:tc>
          <w:tcPr>
            <w:tcW w:w="790" w:type="dxa"/>
            <w:vMerge w:val="restart"/>
            <w:shd w:val="clear" w:color="auto" w:fill="auto"/>
            <w:vAlign w:val="center"/>
          </w:tcPr>
          <w:p w14:paraId="1F0CE79E"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Elhafidziyah</w:t>
            </w:r>
            <w:proofErr w:type="spellEnd"/>
            <w:r w:rsidRPr="00591BD8">
              <w:rPr>
                <w:rFonts w:ascii="Times New Roman" w:hAnsi="Times New Roman"/>
                <w:bCs/>
                <w:sz w:val="20"/>
                <w:szCs w:val="20"/>
              </w:rPr>
              <w:t xml:space="preserve"> Middle School</w:t>
            </w:r>
          </w:p>
        </w:tc>
        <w:tc>
          <w:tcPr>
            <w:tcW w:w="567" w:type="dxa"/>
            <w:vMerge w:val="restart"/>
            <w:shd w:val="clear" w:color="auto" w:fill="auto"/>
            <w:vAlign w:val="center"/>
          </w:tcPr>
          <w:p w14:paraId="4D1E58B0"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VIIA</w:t>
            </w:r>
          </w:p>
        </w:tc>
        <w:tc>
          <w:tcPr>
            <w:tcW w:w="1194" w:type="dxa"/>
            <w:tcBorders>
              <w:bottom w:val="nil"/>
            </w:tcBorders>
            <w:shd w:val="clear" w:color="auto" w:fill="auto"/>
          </w:tcPr>
          <w:p w14:paraId="203D2BEF"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36.0 – 63.1</w:t>
            </w:r>
          </w:p>
        </w:tc>
        <w:tc>
          <w:tcPr>
            <w:tcW w:w="425" w:type="dxa"/>
            <w:tcBorders>
              <w:bottom w:val="nil"/>
            </w:tcBorders>
            <w:shd w:val="clear" w:color="auto" w:fill="auto"/>
          </w:tcPr>
          <w:p w14:paraId="65CB3B0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w:t>
            </w:r>
          </w:p>
        </w:tc>
        <w:tc>
          <w:tcPr>
            <w:tcW w:w="851" w:type="dxa"/>
            <w:tcBorders>
              <w:bottom w:val="nil"/>
            </w:tcBorders>
            <w:shd w:val="clear" w:color="auto" w:fill="auto"/>
          </w:tcPr>
          <w:p w14:paraId="40A549A6"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10%</w:t>
            </w:r>
          </w:p>
        </w:tc>
        <w:tc>
          <w:tcPr>
            <w:tcW w:w="1417" w:type="dxa"/>
            <w:tcBorders>
              <w:bottom w:val="nil"/>
            </w:tcBorders>
            <w:shd w:val="clear" w:color="auto" w:fill="auto"/>
          </w:tcPr>
          <w:p w14:paraId="20073CAC"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Muy no bueno</w:t>
            </w:r>
          </w:p>
        </w:tc>
        <w:tc>
          <w:tcPr>
            <w:tcW w:w="567" w:type="dxa"/>
            <w:vMerge w:val="restart"/>
            <w:shd w:val="clear" w:color="auto" w:fill="auto"/>
          </w:tcPr>
          <w:p w14:paraId="50AF6461" w14:textId="77777777" w:rsidR="00BB4FDA" w:rsidRPr="00591BD8" w:rsidRDefault="00BB4FDA" w:rsidP="00BB4FDA">
            <w:pPr>
              <w:tabs>
                <w:tab w:val="left" w:pos="2410"/>
              </w:tabs>
              <w:spacing w:after="0"/>
              <w:jc w:val="center"/>
              <w:rPr>
                <w:rFonts w:ascii="Times New Roman" w:hAnsi="Times New Roman"/>
                <w:bCs/>
                <w:sz w:val="20"/>
                <w:szCs w:val="20"/>
              </w:rPr>
            </w:pPr>
          </w:p>
          <w:p w14:paraId="73AACB88" w14:textId="77777777" w:rsidR="00BB4FDA" w:rsidRPr="00591BD8" w:rsidRDefault="00BB4FDA" w:rsidP="00BB4FDA">
            <w:pPr>
              <w:tabs>
                <w:tab w:val="left" w:pos="2410"/>
              </w:tabs>
              <w:spacing w:after="0"/>
              <w:jc w:val="center"/>
              <w:rPr>
                <w:rFonts w:ascii="Times New Roman" w:hAnsi="Times New Roman"/>
                <w:bCs/>
                <w:sz w:val="20"/>
                <w:szCs w:val="20"/>
              </w:rPr>
            </w:pPr>
          </w:p>
          <w:p w14:paraId="7A4F08A1"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2.85</w:t>
            </w:r>
          </w:p>
        </w:tc>
        <w:tc>
          <w:tcPr>
            <w:tcW w:w="709" w:type="dxa"/>
            <w:vMerge w:val="restart"/>
            <w:shd w:val="clear" w:color="auto" w:fill="auto"/>
          </w:tcPr>
          <w:p w14:paraId="450AFBCE" w14:textId="77777777" w:rsidR="00BB4FDA" w:rsidRPr="00591BD8" w:rsidRDefault="00BB4FDA" w:rsidP="00BB4FDA">
            <w:pPr>
              <w:tabs>
                <w:tab w:val="left" w:pos="2410"/>
              </w:tabs>
              <w:spacing w:after="0"/>
              <w:jc w:val="center"/>
              <w:rPr>
                <w:rFonts w:ascii="Times New Roman" w:hAnsi="Times New Roman"/>
                <w:bCs/>
                <w:sz w:val="20"/>
                <w:szCs w:val="20"/>
              </w:rPr>
            </w:pPr>
          </w:p>
          <w:p w14:paraId="516AD64A" w14:textId="77777777" w:rsidR="00BB4FDA" w:rsidRPr="00591BD8" w:rsidRDefault="00BB4FDA" w:rsidP="00BB4FDA">
            <w:pPr>
              <w:tabs>
                <w:tab w:val="left" w:pos="2410"/>
              </w:tabs>
              <w:spacing w:after="0"/>
              <w:jc w:val="center"/>
              <w:rPr>
                <w:rFonts w:ascii="Times New Roman" w:hAnsi="Times New Roman"/>
                <w:bCs/>
                <w:sz w:val="20"/>
                <w:szCs w:val="20"/>
              </w:rPr>
            </w:pPr>
          </w:p>
          <w:p w14:paraId="0AABC78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3.00</w:t>
            </w:r>
          </w:p>
        </w:tc>
        <w:tc>
          <w:tcPr>
            <w:tcW w:w="567" w:type="dxa"/>
            <w:vMerge w:val="restart"/>
            <w:shd w:val="clear" w:color="auto" w:fill="auto"/>
          </w:tcPr>
          <w:p w14:paraId="7B123612" w14:textId="77777777" w:rsidR="00BB4FDA" w:rsidRPr="00591BD8" w:rsidRDefault="00BB4FDA" w:rsidP="00BB4FDA">
            <w:pPr>
              <w:tabs>
                <w:tab w:val="left" w:pos="2410"/>
              </w:tabs>
              <w:spacing w:after="0"/>
              <w:jc w:val="center"/>
              <w:rPr>
                <w:rFonts w:ascii="Times New Roman" w:hAnsi="Times New Roman"/>
                <w:bCs/>
                <w:sz w:val="20"/>
                <w:szCs w:val="20"/>
              </w:rPr>
            </w:pPr>
          </w:p>
          <w:p w14:paraId="04B13AF1" w14:textId="77777777" w:rsidR="00BB4FDA" w:rsidRPr="00591BD8" w:rsidRDefault="00BB4FDA" w:rsidP="00BB4FDA">
            <w:pPr>
              <w:tabs>
                <w:tab w:val="left" w:pos="2410"/>
              </w:tabs>
              <w:spacing w:after="0"/>
              <w:jc w:val="center"/>
              <w:rPr>
                <w:rFonts w:ascii="Times New Roman" w:hAnsi="Times New Roman"/>
                <w:bCs/>
                <w:sz w:val="20"/>
                <w:szCs w:val="20"/>
              </w:rPr>
            </w:pPr>
          </w:p>
          <w:p w14:paraId="1E2EE05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1.00</w:t>
            </w:r>
          </w:p>
          <w:p w14:paraId="0760D9E0"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val="restart"/>
            <w:shd w:val="clear" w:color="auto" w:fill="auto"/>
          </w:tcPr>
          <w:p w14:paraId="2993144F" w14:textId="77777777" w:rsidR="00BB4FDA" w:rsidRPr="00591BD8" w:rsidRDefault="00BB4FDA" w:rsidP="00BB4FDA">
            <w:pPr>
              <w:tabs>
                <w:tab w:val="left" w:pos="2410"/>
              </w:tabs>
              <w:spacing w:after="0"/>
              <w:jc w:val="center"/>
              <w:rPr>
                <w:rFonts w:ascii="Times New Roman" w:hAnsi="Times New Roman"/>
                <w:bCs/>
                <w:sz w:val="20"/>
                <w:szCs w:val="20"/>
              </w:rPr>
            </w:pPr>
          </w:p>
          <w:p w14:paraId="0A7EDB71" w14:textId="77777777" w:rsidR="00BB4FDA" w:rsidRPr="00591BD8" w:rsidRDefault="00BB4FDA" w:rsidP="00BB4FDA">
            <w:pPr>
              <w:tabs>
                <w:tab w:val="left" w:pos="2410"/>
              </w:tabs>
              <w:spacing w:after="0"/>
              <w:jc w:val="center"/>
              <w:rPr>
                <w:rFonts w:ascii="Times New Roman" w:hAnsi="Times New Roman"/>
                <w:bCs/>
                <w:sz w:val="20"/>
                <w:szCs w:val="20"/>
              </w:rPr>
            </w:pPr>
          </w:p>
          <w:p w14:paraId="3FB52F21"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4.00</w:t>
            </w:r>
          </w:p>
        </w:tc>
      </w:tr>
      <w:tr w:rsidR="00BB4FDA" w:rsidRPr="00591BD8" w14:paraId="209C7326" w14:textId="77777777" w:rsidTr="000475D4">
        <w:trPr>
          <w:jc w:val="center"/>
        </w:trPr>
        <w:tc>
          <w:tcPr>
            <w:tcW w:w="790" w:type="dxa"/>
            <w:vMerge/>
            <w:shd w:val="clear" w:color="auto" w:fill="auto"/>
            <w:vAlign w:val="center"/>
          </w:tcPr>
          <w:p w14:paraId="6E94DE5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6023A4B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bottom w:val="nil"/>
            </w:tcBorders>
            <w:shd w:val="clear" w:color="auto" w:fill="auto"/>
          </w:tcPr>
          <w:p w14:paraId="5274231B"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63.1 – 90.0</w:t>
            </w:r>
          </w:p>
        </w:tc>
        <w:tc>
          <w:tcPr>
            <w:tcW w:w="425" w:type="dxa"/>
            <w:tcBorders>
              <w:top w:val="nil"/>
              <w:bottom w:val="nil"/>
            </w:tcBorders>
            <w:shd w:val="clear" w:color="auto" w:fill="auto"/>
          </w:tcPr>
          <w:p w14:paraId="4C7395FB"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w:t>
            </w:r>
          </w:p>
        </w:tc>
        <w:tc>
          <w:tcPr>
            <w:tcW w:w="851" w:type="dxa"/>
            <w:tcBorders>
              <w:top w:val="nil"/>
              <w:bottom w:val="nil"/>
            </w:tcBorders>
            <w:shd w:val="clear" w:color="auto" w:fill="auto"/>
          </w:tcPr>
          <w:p w14:paraId="094D897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15%</w:t>
            </w:r>
          </w:p>
        </w:tc>
        <w:tc>
          <w:tcPr>
            <w:tcW w:w="1417" w:type="dxa"/>
            <w:tcBorders>
              <w:top w:val="nil"/>
              <w:bottom w:val="nil"/>
            </w:tcBorders>
            <w:shd w:val="clear" w:color="auto" w:fill="auto"/>
          </w:tcPr>
          <w:p w14:paraId="7EA048F0"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vAlign w:val="center"/>
          </w:tcPr>
          <w:p w14:paraId="661B18C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38931C75"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7EB77FE1"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60B1D099"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57EE8427" w14:textId="77777777" w:rsidTr="000475D4">
        <w:trPr>
          <w:jc w:val="center"/>
        </w:trPr>
        <w:tc>
          <w:tcPr>
            <w:tcW w:w="790" w:type="dxa"/>
            <w:vMerge/>
            <w:shd w:val="clear" w:color="auto" w:fill="auto"/>
            <w:vAlign w:val="center"/>
          </w:tcPr>
          <w:p w14:paraId="2CFA2C0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1478F838"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bottom w:val="nil"/>
            </w:tcBorders>
            <w:shd w:val="clear" w:color="auto" w:fill="auto"/>
          </w:tcPr>
          <w:p w14:paraId="7FD73BBB"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90.1 – 117.0</w:t>
            </w:r>
          </w:p>
        </w:tc>
        <w:tc>
          <w:tcPr>
            <w:tcW w:w="425" w:type="dxa"/>
            <w:tcBorders>
              <w:top w:val="nil"/>
              <w:bottom w:val="nil"/>
            </w:tcBorders>
            <w:shd w:val="clear" w:color="auto" w:fill="auto"/>
          </w:tcPr>
          <w:p w14:paraId="7F1B686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8</w:t>
            </w:r>
          </w:p>
        </w:tc>
        <w:tc>
          <w:tcPr>
            <w:tcW w:w="851" w:type="dxa"/>
            <w:tcBorders>
              <w:top w:val="nil"/>
              <w:bottom w:val="nil"/>
            </w:tcBorders>
            <w:shd w:val="clear" w:color="auto" w:fill="auto"/>
          </w:tcPr>
          <w:p w14:paraId="5980E772"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40%</w:t>
            </w:r>
          </w:p>
        </w:tc>
        <w:tc>
          <w:tcPr>
            <w:tcW w:w="1417" w:type="dxa"/>
            <w:tcBorders>
              <w:top w:val="nil"/>
              <w:bottom w:val="nil"/>
            </w:tcBorders>
            <w:shd w:val="clear" w:color="auto" w:fill="auto"/>
          </w:tcPr>
          <w:p w14:paraId="413BEAE3"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vAlign w:val="center"/>
          </w:tcPr>
          <w:p w14:paraId="32AEE49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7A83BAA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2A9BD3E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371C68D5"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1CD3350F" w14:textId="77777777" w:rsidTr="000475D4">
        <w:trPr>
          <w:jc w:val="center"/>
        </w:trPr>
        <w:tc>
          <w:tcPr>
            <w:tcW w:w="790" w:type="dxa"/>
            <w:vMerge/>
            <w:shd w:val="clear" w:color="auto" w:fill="auto"/>
            <w:vAlign w:val="center"/>
          </w:tcPr>
          <w:p w14:paraId="74509EA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53E3B91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tcBorders>
            <w:shd w:val="clear" w:color="auto" w:fill="auto"/>
          </w:tcPr>
          <w:p w14:paraId="623FD528"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117.1 –144.0</w:t>
            </w:r>
          </w:p>
        </w:tc>
        <w:tc>
          <w:tcPr>
            <w:tcW w:w="425" w:type="dxa"/>
            <w:tcBorders>
              <w:top w:val="nil"/>
            </w:tcBorders>
            <w:shd w:val="clear" w:color="auto" w:fill="auto"/>
          </w:tcPr>
          <w:p w14:paraId="45E155C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7</w:t>
            </w:r>
          </w:p>
        </w:tc>
        <w:tc>
          <w:tcPr>
            <w:tcW w:w="851" w:type="dxa"/>
            <w:tcBorders>
              <w:top w:val="nil"/>
            </w:tcBorders>
            <w:shd w:val="clear" w:color="auto" w:fill="auto"/>
          </w:tcPr>
          <w:p w14:paraId="70A4322B"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35%</w:t>
            </w:r>
          </w:p>
        </w:tc>
        <w:tc>
          <w:tcPr>
            <w:tcW w:w="1417" w:type="dxa"/>
            <w:tcBorders>
              <w:top w:val="nil"/>
            </w:tcBorders>
            <w:shd w:val="clear" w:color="auto" w:fill="auto"/>
          </w:tcPr>
          <w:p w14:paraId="66258006"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Muy bien</w:t>
            </w:r>
          </w:p>
        </w:tc>
        <w:tc>
          <w:tcPr>
            <w:tcW w:w="567" w:type="dxa"/>
            <w:vMerge/>
            <w:shd w:val="clear" w:color="auto" w:fill="auto"/>
            <w:vAlign w:val="center"/>
          </w:tcPr>
          <w:p w14:paraId="47AD4F4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5EC8371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41F6E37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37824D10"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203F5967" w14:textId="77777777" w:rsidTr="000475D4">
        <w:trPr>
          <w:jc w:val="center"/>
        </w:trPr>
        <w:tc>
          <w:tcPr>
            <w:tcW w:w="790" w:type="dxa"/>
            <w:vMerge/>
            <w:shd w:val="clear" w:color="auto" w:fill="auto"/>
            <w:vAlign w:val="center"/>
          </w:tcPr>
          <w:p w14:paraId="6DA7368C"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val="restart"/>
            <w:shd w:val="clear" w:color="auto" w:fill="auto"/>
            <w:vAlign w:val="center"/>
          </w:tcPr>
          <w:p w14:paraId="42E4783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VIIB</w:t>
            </w:r>
          </w:p>
        </w:tc>
        <w:tc>
          <w:tcPr>
            <w:tcW w:w="1194" w:type="dxa"/>
            <w:tcBorders>
              <w:bottom w:val="nil"/>
            </w:tcBorders>
            <w:shd w:val="clear" w:color="auto" w:fill="auto"/>
          </w:tcPr>
          <w:p w14:paraId="51E5C534"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36.0 – 63.1</w:t>
            </w:r>
          </w:p>
        </w:tc>
        <w:tc>
          <w:tcPr>
            <w:tcW w:w="425" w:type="dxa"/>
            <w:tcBorders>
              <w:bottom w:val="nil"/>
            </w:tcBorders>
            <w:shd w:val="clear" w:color="auto" w:fill="auto"/>
          </w:tcPr>
          <w:p w14:paraId="76CB3E32"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w:t>
            </w:r>
          </w:p>
        </w:tc>
        <w:tc>
          <w:tcPr>
            <w:tcW w:w="851" w:type="dxa"/>
            <w:tcBorders>
              <w:bottom w:val="nil"/>
            </w:tcBorders>
            <w:shd w:val="clear" w:color="auto" w:fill="auto"/>
          </w:tcPr>
          <w:p w14:paraId="6E1DE9F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15%</w:t>
            </w:r>
          </w:p>
        </w:tc>
        <w:tc>
          <w:tcPr>
            <w:tcW w:w="1417" w:type="dxa"/>
            <w:tcBorders>
              <w:bottom w:val="nil"/>
            </w:tcBorders>
            <w:shd w:val="clear" w:color="auto" w:fill="auto"/>
          </w:tcPr>
          <w:p w14:paraId="0CA6896C"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Muy no bueno</w:t>
            </w:r>
          </w:p>
        </w:tc>
        <w:tc>
          <w:tcPr>
            <w:tcW w:w="567" w:type="dxa"/>
            <w:vMerge w:val="restart"/>
            <w:shd w:val="clear" w:color="auto" w:fill="auto"/>
          </w:tcPr>
          <w:p w14:paraId="6BF2A71C" w14:textId="77777777" w:rsidR="00BB4FDA" w:rsidRPr="00591BD8" w:rsidRDefault="00BB4FDA" w:rsidP="00BB4FDA">
            <w:pPr>
              <w:tabs>
                <w:tab w:val="left" w:pos="2410"/>
              </w:tabs>
              <w:spacing w:after="0"/>
              <w:jc w:val="center"/>
              <w:rPr>
                <w:rFonts w:ascii="Times New Roman" w:hAnsi="Times New Roman"/>
                <w:bCs/>
                <w:sz w:val="20"/>
                <w:szCs w:val="20"/>
              </w:rPr>
            </w:pPr>
          </w:p>
          <w:p w14:paraId="5701C3D3" w14:textId="77777777" w:rsidR="00BB4FDA" w:rsidRPr="00591BD8" w:rsidRDefault="00BB4FDA" w:rsidP="00BB4FDA">
            <w:pPr>
              <w:tabs>
                <w:tab w:val="left" w:pos="2410"/>
              </w:tabs>
              <w:spacing w:after="0"/>
              <w:jc w:val="center"/>
              <w:rPr>
                <w:rFonts w:ascii="Times New Roman" w:hAnsi="Times New Roman"/>
                <w:bCs/>
                <w:sz w:val="20"/>
                <w:szCs w:val="20"/>
              </w:rPr>
            </w:pPr>
          </w:p>
          <w:p w14:paraId="79C249CB"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2.75</w:t>
            </w:r>
          </w:p>
        </w:tc>
        <w:tc>
          <w:tcPr>
            <w:tcW w:w="709" w:type="dxa"/>
            <w:vMerge w:val="restart"/>
            <w:shd w:val="clear" w:color="auto" w:fill="auto"/>
          </w:tcPr>
          <w:p w14:paraId="2D95F047" w14:textId="77777777" w:rsidR="00BB4FDA" w:rsidRPr="00591BD8" w:rsidRDefault="00BB4FDA" w:rsidP="00BB4FDA">
            <w:pPr>
              <w:tabs>
                <w:tab w:val="left" w:pos="2410"/>
              </w:tabs>
              <w:spacing w:after="0"/>
              <w:jc w:val="center"/>
              <w:rPr>
                <w:rFonts w:ascii="Times New Roman" w:hAnsi="Times New Roman"/>
                <w:bCs/>
                <w:sz w:val="20"/>
                <w:szCs w:val="20"/>
              </w:rPr>
            </w:pPr>
          </w:p>
          <w:p w14:paraId="6C2F8D43" w14:textId="77777777" w:rsidR="00BB4FDA" w:rsidRPr="00591BD8" w:rsidRDefault="00BB4FDA" w:rsidP="00BB4FDA">
            <w:pPr>
              <w:tabs>
                <w:tab w:val="left" w:pos="2410"/>
              </w:tabs>
              <w:spacing w:after="0"/>
              <w:jc w:val="center"/>
              <w:rPr>
                <w:rFonts w:ascii="Times New Roman" w:hAnsi="Times New Roman"/>
                <w:bCs/>
                <w:sz w:val="20"/>
                <w:szCs w:val="20"/>
              </w:rPr>
            </w:pPr>
          </w:p>
          <w:p w14:paraId="774B296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3.00</w:t>
            </w:r>
          </w:p>
        </w:tc>
        <w:tc>
          <w:tcPr>
            <w:tcW w:w="567" w:type="dxa"/>
            <w:vMerge w:val="restart"/>
            <w:shd w:val="clear" w:color="auto" w:fill="auto"/>
          </w:tcPr>
          <w:p w14:paraId="197FCA75" w14:textId="77777777" w:rsidR="00BB4FDA" w:rsidRPr="00591BD8" w:rsidRDefault="00BB4FDA" w:rsidP="00BB4FDA">
            <w:pPr>
              <w:tabs>
                <w:tab w:val="left" w:pos="2410"/>
              </w:tabs>
              <w:spacing w:after="0"/>
              <w:jc w:val="center"/>
              <w:rPr>
                <w:rFonts w:ascii="Times New Roman" w:hAnsi="Times New Roman"/>
                <w:bCs/>
                <w:sz w:val="20"/>
                <w:szCs w:val="20"/>
              </w:rPr>
            </w:pPr>
          </w:p>
          <w:p w14:paraId="568697FC" w14:textId="77777777" w:rsidR="00BB4FDA" w:rsidRPr="00591BD8" w:rsidRDefault="00BB4FDA" w:rsidP="00BB4FDA">
            <w:pPr>
              <w:tabs>
                <w:tab w:val="left" w:pos="2410"/>
              </w:tabs>
              <w:spacing w:after="0"/>
              <w:jc w:val="center"/>
              <w:rPr>
                <w:rFonts w:ascii="Times New Roman" w:hAnsi="Times New Roman"/>
                <w:bCs/>
                <w:sz w:val="20"/>
                <w:szCs w:val="20"/>
              </w:rPr>
            </w:pPr>
          </w:p>
          <w:p w14:paraId="0481823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1.00</w:t>
            </w:r>
          </w:p>
          <w:p w14:paraId="776CCEB1"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val="restart"/>
            <w:shd w:val="clear" w:color="auto" w:fill="auto"/>
          </w:tcPr>
          <w:p w14:paraId="24425948" w14:textId="77777777" w:rsidR="00BB4FDA" w:rsidRPr="00591BD8" w:rsidRDefault="00BB4FDA" w:rsidP="00BB4FDA">
            <w:pPr>
              <w:tabs>
                <w:tab w:val="left" w:pos="2410"/>
              </w:tabs>
              <w:spacing w:after="0"/>
              <w:jc w:val="center"/>
              <w:rPr>
                <w:rFonts w:ascii="Times New Roman" w:hAnsi="Times New Roman"/>
                <w:bCs/>
                <w:sz w:val="20"/>
                <w:szCs w:val="20"/>
              </w:rPr>
            </w:pPr>
          </w:p>
          <w:p w14:paraId="2067F819" w14:textId="77777777" w:rsidR="00BB4FDA" w:rsidRPr="00591BD8" w:rsidRDefault="00BB4FDA" w:rsidP="00BB4FDA">
            <w:pPr>
              <w:tabs>
                <w:tab w:val="left" w:pos="2410"/>
              </w:tabs>
              <w:spacing w:after="0"/>
              <w:jc w:val="center"/>
              <w:rPr>
                <w:rFonts w:ascii="Times New Roman" w:hAnsi="Times New Roman"/>
                <w:bCs/>
                <w:sz w:val="20"/>
                <w:szCs w:val="20"/>
              </w:rPr>
            </w:pPr>
          </w:p>
          <w:p w14:paraId="4FA5A1DC"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4.00</w:t>
            </w:r>
          </w:p>
        </w:tc>
      </w:tr>
      <w:tr w:rsidR="00BB4FDA" w:rsidRPr="00591BD8" w14:paraId="5F0A1996" w14:textId="77777777" w:rsidTr="000475D4">
        <w:trPr>
          <w:jc w:val="center"/>
        </w:trPr>
        <w:tc>
          <w:tcPr>
            <w:tcW w:w="790" w:type="dxa"/>
            <w:vMerge/>
            <w:shd w:val="clear" w:color="auto" w:fill="auto"/>
            <w:vAlign w:val="center"/>
          </w:tcPr>
          <w:p w14:paraId="39558E2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223B1775"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bottom w:val="nil"/>
            </w:tcBorders>
            <w:shd w:val="clear" w:color="auto" w:fill="auto"/>
          </w:tcPr>
          <w:p w14:paraId="4FFF9A33"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63.1 – 90.0</w:t>
            </w:r>
          </w:p>
        </w:tc>
        <w:tc>
          <w:tcPr>
            <w:tcW w:w="425" w:type="dxa"/>
            <w:tcBorders>
              <w:top w:val="nil"/>
              <w:bottom w:val="nil"/>
            </w:tcBorders>
            <w:shd w:val="clear" w:color="auto" w:fill="auto"/>
          </w:tcPr>
          <w:p w14:paraId="1BCB874C"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w:t>
            </w:r>
          </w:p>
        </w:tc>
        <w:tc>
          <w:tcPr>
            <w:tcW w:w="851" w:type="dxa"/>
            <w:tcBorders>
              <w:top w:val="nil"/>
              <w:bottom w:val="nil"/>
            </w:tcBorders>
            <w:shd w:val="clear" w:color="auto" w:fill="auto"/>
          </w:tcPr>
          <w:p w14:paraId="6A12303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20%</w:t>
            </w:r>
          </w:p>
        </w:tc>
        <w:tc>
          <w:tcPr>
            <w:tcW w:w="1417" w:type="dxa"/>
            <w:tcBorders>
              <w:top w:val="nil"/>
              <w:bottom w:val="nil"/>
            </w:tcBorders>
            <w:shd w:val="clear" w:color="auto" w:fill="auto"/>
          </w:tcPr>
          <w:p w14:paraId="56D1BF38"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tcPr>
          <w:p w14:paraId="47A1BB7C"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22A24C5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4757FD6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15A110B1"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56E48ADE" w14:textId="77777777" w:rsidTr="000475D4">
        <w:trPr>
          <w:jc w:val="center"/>
        </w:trPr>
        <w:tc>
          <w:tcPr>
            <w:tcW w:w="790" w:type="dxa"/>
            <w:vMerge/>
            <w:shd w:val="clear" w:color="auto" w:fill="auto"/>
            <w:vAlign w:val="center"/>
          </w:tcPr>
          <w:p w14:paraId="21846DA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70706C0C"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bottom w:val="nil"/>
            </w:tcBorders>
            <w:shd w:val="clear" w:color="auto" w:fill="auto"/>
          </w:tcPr>
          <w:p w14:paraId="23EDFF46"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90.1 – 117.0</w:t>
            </w:r>
          </w:p>
        </w:tc>
        <w:tc>
          <w:tcPr>
            <w:tcW w:w="425" w:type="dxa"/>
            <w:tcBorders>
              <w:top w:val="nil"/>
              <w:bottom w:val="nil"/>
            </w:tcBorders>
            <w:shd w:val="clear" w:color="auto" w:fill="auto"/>
          </w:tcPr>
          <w:p w14:paraId="7C66DE1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7</w:t>
            </w:r>
          </w:p>
        </w:tc>
        <w:tc>
          <w:tcPr>
            <w:tcW w:w="851" w:type="dxa"/>
            <w:tcBorders>
              <w:top w:val="nil"/>
              <w:bottom w:val="nil"/>
            </w:tcBorders>
            <w:shd w:val="clear" w:color="auto" w:fill="auto"/>
          </w:tcPr>
          <w:p w14:paraId="11632B5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35%</w:t>
            </w:r>
          </w:p>
        </w:tc>
        <w:tc>
          <w:tcPr>
            <w:tcW w:w="1417" w:type="dxa"/>
            <w:tcBorders>
              <w:top w:val="nil"/>
              <w:bottom w:val="nil"/>
            </w:tcBorders>
            <w:shd w:val="clear" w:color="auto" w:fill="auto"/>
          </w:tcPr>
          <w:p w14:paraId="24837750"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tcPr>
          <w:p w14:paraId="6284FA7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2288E51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78C8AE7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45D9FDA5"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61BDEBE7" w14:textId="77777777" w:rsidTr="000475D4">
        <w:trPr>
          <w:jc w:val="center"/>
        </w:trPr>
        <w:tc>
          <w:tcPr>
            <w:tcW w:w="790" w:type="dxa"/>
            <w:vMerge/>
            <w:shd w:val="clear" w:color="auto" w:fill="auto"/>
            <w:vAlign w:val="center"/>
          </w:tcPr>
          <w:p w14:paraId="18B03E04"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3C47F15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94" w:type="dxa"/>
            <w:tcBorders>
              <w:top w:val="nil"/>
              <w:bottom w:val="single" w:sz="4" w:space="0" w:color="auto"/>
            </w:tcBorders>
            <w:shd w:val="clear" w:color="auto" w:fill="auto"/>
          </w:tcPr>
          <w:p w14:paraId="2F02D1A1" w14:textId="77777777" w:rsidR="00BB4FDA" w:rsidRPr="00591BD8" w:rsidRDefault="00BB4FDA" w:rsidP="00BB4FDA">
            <w:pPr>
              <w:tabs>
                <w:tab w:val="left" w:pos="2410"/>
              </w:tabs>
              <w:spacing w:after="0"/>
              <w:rPr>
                <w:rFonts w:ascii="Times New Roman" w:hAnsi="Times New Roman"/>
                <w:bCs/>
                <w:sz w:val="20"/>
                <w:szCs w:val="20"/>
              </w:rPr>
            </w:pPr>
            <w:r w:rsidRPr="00591BD8">
              <w:rPr>
                <w:rFonts w:ascii="Times New Roman" w:hAnsi="Times New Roman"/>
                <w:bCs/>
                <w:sz w:val="20"/>
                <w:szCs w:val="20"/>
              </w:rPr>
              <w:t>117.1 –144.0</w:t>
            </w:r>
          </w:p>
        </w:tc>
        <w:tc>
          <w:tcPr>
            <w:tcW w:w="425" w:type="dxa"/>
            <w:tcBorders>
              <w:top w:val="nil"/>
              <w:bottom w:val="single" w:sz="4" w:space="0" w:color="auto"/>
            </w:tcBorders>
            <w:shd w:val="clear" w:color="auto" w:fill="auto"/>
          </w:tcPr>
          <w:p w14:paraId="1A30CF5A"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6</w:t>
            </w:r>
          </w:p>
        </w:tc>
        <w:tc>
          <w:tcPr>
            <w:tcW w:w="851" w:type="dxa"/>
            <w:tcBorders>
              <w:top w:val="nil"/>
              <w:bottom w:val="single" w:sz="4" w:space="0" w:color="auto"/>
            </w:tcBorders>
            <w:shd w:val="clear" w:color="auto" w:fill="auto"/>
          </w:tcPr>
          <w:p w14:paraId="5D8F7C92"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w:t>
            </w:r>
          </w:p>
        </w:tc>
        <w:tc>
          <w:tcPr>
            <w:tcW w:w="1417" w:type="dxa"/>
            <w:tcBorders>
              <w:top w:val="nil"/>
              <w:bottom w:val="single" w:sz="4" w:space="0" w:color="auto"/>
            </w:tcBorders>
            <w:shd w:val="clear" w:color="auto" w:fill="auto"/>
          </w:tcPr>
          <w:p w14:paraId="64AAD4D0"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Muy bien</w:t>
            </w:r>
          </w:p>
        </w:tc>
        <w:tc>
          <w:tcPr>
            <w:tcW w:w="567" w:type="dxa"/>
            <w:vMerge/>
            <w:shd w:val="clear" w:color="auto" w:fill="auto"/>
          </w:tcPr>
          <w:p w14:paraId="08B31F5C"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5AC6C03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15C82BB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3B41AE06" w14:textId="77777777" w:rsidR="00BB4FDA" w:rsidRPr="00591BD8" w:rsidRDefault="00BB4FDA" w:rsidP="00BB4FDA">
            <w:pPr>
              <w:tabs>
                <w:tab w:val="left" w:pos="2410"/>
              </w:tabs>
              <w:spacing w:after="0"/>
              <w:jc w:val="center"/>
              <w:rPr>
                <w:rFonts w:ascii="Times New Roman" w:hAnsi="Times New Roman"/>
                <w:bCs/>
                <w:sz w:val="20"/>
                <w:szCs w:val="20"/>
              </w:rPr>
            </w:pPr>
          </w:p>
        </w:tc>
      </w:tr>
    </w:tbl>
    <w:bookmarkEnd w:id="0"/>
    <w:p w14:paraId="02A1FF11" w14:textId="77777777" w:rsidR="00BB4FDA" w:rsidRPr="00591BD8" w:rsidRDefault="00BB4FDA" w:rsidP="00BB4FDA">
      <w:pPr>
        <w:pStyle w:val="E-JournalBody"/>
      </w:pPr>
      <w:r w:rsidRPr="00591BD8">
        <w:t>Según los resultados de la tabla anterior, se puede decir que SMPN 7 Muaro Jambi y SMPS Elhafidziyah clases VII A, VII B son superiores en la categoría buena. En la siguiente tabla se presenta una descripción de las pruebas estadísticas descriptivas sobre las habilidades de procesamiento matemático de los estudiantes.</w:t>
      </w:r>
    </w:p>
    <w:p w14:paraId="4CBD4078" w14:textId="1BC2F2C3" w:rsidR="00FA39F0" w:rsidRPr="00591BD8" w:rsidRDefault="00BB4FDA" w:rsidP="00BB4FDA">
      <w:pPr>
        <w:pStyle w:val="E-JournalBody"/>
        <w:ind w:firstLine="0"/>
        <w:jc w:val="center"/>
        <w:rPr>
          <w:sz w:val="20"/>
          <w:szCs w:val="20"/>
        </w:rPr>
      </w:pPr>
      <w:r w:rsidRPr="00591BD8">
        <w:rPr>
          <w:sz w:val="20"/>
          <w:szCs w:val="20"/>
        </w:rPr>
        <w:t>Table 6. Descripción de la prueba de las habilidades de proceso matemático de los estudiantes</w:t>
      </w:r>
    </w:p>
    <w:tbl>
      <w:tblPr>
        <w:tblW w:w="7583"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32"/>
        <w:gridCol w:w="567"/>
        <w:gridCol w:w="1123"/>
        <w:gridCol w:w="283"/>
        <w:gridCol w:w="851"/>
        <w:gridCol w:w="1559"/>
        <w:gridCol w:w="567"/>
        <w:gridCol w:w="709"/>
        <w:gridCol w:w="567"/>
        <w:gridCol w:w="425"/>
      </w:tblGrid>
      <w:tr w:rsidR="00BB4FDA" w:rsidRPr="00591BD8" w14:paraId="1C18035F" w14:textId="77777777" w:rsidTr="000475D4">
        <w:trPr>
          <w:jc w:val="center"/>
        </w:trPr>
        <w:tc>
          <w:tcPr>
            <w:tcW w:w="1499" w:type="dxa"/>
            <w:gridSpan w:val="2"/>
            <w:shd w:val="clear" w:color="auto" w:fill="auto"/>
            <w:vAlign w:val="center"/>
          </w:tcPr>
          <w:p w14:paraId="18DE7456" w14:textId="77777777" w:rsidR="00BB4FDA" w:rsidRPr="00591BD8" w:rsidRDefault="00BB4FDA" w:rsidP="00BB4FDA">
            <w:pPr>
              <w:tabs>
                <w:tab w:val="left" w:pos="2410"/>
              </w:tabs>
              <w:spacing w:after="0"/>
              <w:jc w:val="center"/>
              <w:rPr>
                <w:rFonts w:ascii="Times New Roman" w:hAnsi="Times New Roman"/>
                <w:bCs/>
                <w:sz w:val="20"/>
                <w:szCs w:val="20"/>
              </w:rPr>
            </w:pPr>
            <w:bookmarkStart w:id="1" w:name="_Hlk171781745"/>
            <w:r w:rsidRPr="00591BD8">
              <w:rPr>
                <w:rFonts w:ascii="Times New Roman" w:hAnsi="Times New Roman"/>
                <w:bCs/>
                <w:sz w:val="20"/>
                <w:szCs w:val="20"/>
              </w:rPr>
              <w:t>Response of the student</w:t>
            </w:r>
          </w:p>
        </w:tc>
        <w:tc>
          <w:tcPr>
            <w:tcW w:w="1123" w:type="dxa"/>
            <w:tcBorders>
              <w:bottom w:val="single" w:sz="4" w:space="0" w:color="auto"/>
            </w:tcBorders>
            <w:shd w:val="clear" w:color="auto" w:fill="auto"/>
            <w:vAlign w:val="center"/>
          </w:tcPr>
          <w:p w14:paraId="2921C6A2"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Intervals</w:t>
            </w:r>
          </w:p>
        </w:tc>
        <w:tc>
          <w:tcPr>
            <w:tcW w:w="283" w:type="dxa"/>
            <w:tcBorders>
              <w:bottom w:val="single" w:sz="4" w:space="0" w:color="auto"/>
            </w:tcBorders>
            <w:shd w:val="clear" w:color="auto" w:fill="auto"/>
            <w:vAlign w:val="center"/>
          </w:tcPr>
          <w:p w14:paraId="0FCE01F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f</w:t>
            </w:r>
          </w:p>
        </w:tc>
        <w:tc>
          <w:tcPr>
            <w:tcW w:w="851" w:type="dxa"/>
            <w:tcBorders>
              <w:bottom w:val="single" w:sz="4" w:space="0" w:color="auto"/>
            </w:tcBorders>
            <w:shd w:val="clear" w:color="auto" w:fill="auto"/>
            <w:vAlign w:val="center"/>
          </w:tcPr>
          <w:p w14:paraId="6D2DC3F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Percentage</w:t>
            </w:r>
          </w:p>
        </w:tc>
        <w:tc>
          <w:tcPr>
            <w:tcW w:w="1559" w:type="dxa"/>
            <w:tcBorders>
              <w:bottom w:val="single" w:sz="4" w:space="0" w:color="auto"/>
            </w:tcBorders>
            <w:shd w:val="clear" w:color="auto" w:fill="auto"/>
            <w:vAlign w:val="center"/>
          </w:tcPr>
          <w:p w14:paraId="0FC37170"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Categories</w:t>
            </w:r>
          </w:p>
        </w:tc>
        <w:tc>
          <w:tcPr>
            <w:tcW w:w="567" w:type="dxa"/>
            <w:shd w:val="clear" w:color="auto" w:fill="auto"/>
            <w:vAlign w:val="center"/>
          </w:tcPr>
          <w:p w14:paraId="57E38AA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mean</w:t>
            </w:r>
          </w:p>
        </w:tc>
        <w:tc>
          <w:tcPr>
            <w:tcW w:w="709" w:type="dxa"/>
            <w:shd w:val="clear" w:color="auto" w:fill="auto"/>
            <w:vAlign w:val="center"/>
          </w:tcPr>
          <w:p w14:paraId="4F4B5F5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Median</w:t>
            </w:r>
          </w:p>
        </w:tc>
        <w:tc>
          <w:tcPr>
            <w:tcW w:w="567" w:type="dxa"/>
            <w:shd w:val="clear" w:color="auto" w:fill="auto"/>
            <w:vAlign w:val="center"/>
          </w:tcPr>
          <w:p w14:paraId="199586AB"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Min</w:t>
            </w:r>
          </w:p>
        </w:tc>
        <w:tc>
          <w:tcPr>
            <w:tcW w:w="425" w:type="dxa"/>
            <w:shd w:val="clear" w:color="auto" w:fill="auto"/>
            <w:vAlign w:val="center"/>
          </w:tcPr>
          <w:p w14:paraId="185BFD7B"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max</w:t>
            </w:r>
          </w:p>
        </w:tc>
      </w:tr>
      <w:tr w:rsidR="00BB4FDA" w:rsidRPr="00591BD8" w14:paraId="3872DD24" w14:textId="77777777" w:rsidTr="000475D4">
        <w:trPr>
          <w:jc w:val="center"/>
        </w:trPr>
        <w:tc>
          <w:tcPr>
            <w:tcW w:w="932" w:type="dxa"/>
            <w:vMerge w:val="restart"/>
            <w:shd w:val="clear" w:color="auto" w:fill="auto"/>
            <w:vAlign w:val="center"/>
          </w:tcPr>
          <w:p w14:paraId="60460304"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smpn</w:t>
            </w:r>
            <w:proofErr w:type="spellEnd"/>
            <w:r w:rsidRPr="00591BD8">
              <w:rPr>
                <w:rFonts w:ascii="Times New Roman" w:hAnsi="Times New Roman"/>
                <w:bCs/>
                <w:sz w:val="20"/>
                <w:szCs w:val="20"/>
              </w:rPr>
              <w:t xml:space="preserve"> 7 </w:t>
            </w:r>
            <w:proofErr w:type="spellStart"/>
            <w:r w:rsidRPr="00591BD8">
              <w:rPr>
                <w:rFonts w:ascii="Times New Roman" w:hAnsi="Times New Roman"/>
                <w:bCs/>
                <w:sz w:val="20"/>
                <w:szCs w:val="20"/>
              </w:rPr>
              <w:t>Muaro</w:t>
            </w:r>
            <w:proofErr w:type="spellEnd"/>
            <w:r w:rsidRPr="00591BD8">
              <w:rPr>
                <w:rFonts w:ascii="Times New Roman" w:hAnsi="Times New Roman"/>
                <w:bCs/>
                <w:sz w:val="20"/>
                <w:szCs w:val="20"/>
              </w:rPr>
              <w:t xml:space="preserve"> Jambi</w:t>
            </w:r>
          </w:p>
        </w:tc>
        <w:tc>
          <w:tcPr>
            <w:tcW w:w="567" w:type="dxa"/>
            <w:vMerge w:val="restart"/>
            <w:shd w:val="clear" w:color="auto" w:fill="auto"/>
            <w:vAlign w:val="center"/>
          </w:tcPr>
          <w:p w14:paraId="78EE906F"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viia</w:t>
            </w:r>
            <w:proofErr w:type="spellEnd"/>
          </w:p>
        </w:tc>
        <w:tc>
          <w:tcPr>
            <w:tcW w:w="1123" w:type="dxa"/>
            <w:tcBorders>
              <w:bottom w:val="nil"/>
            </w:tcBorders>
            <w:shd w:val="clear" w:color="auto" w:fill="auto"/>
          </w:tcPr>
          <w:p w14:paraId="7327E64F"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10.0-17.5</w:t>
            </w:r>
          </w:p>
        </w:tc>
        <w:tc>
          <w:tcPr>
            <w:tcW w:w="283" w:type="dxa"/>
            <w:tcBorders>
              <w:bottom w:val="nil"/>
            </w:tcBorders>
            <w:shd w:val="clear" w:color="auto" w:fill="auto"/>
          </w:tcPr>
          <w:p w14:paraId="5CBB6BCB"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0</w:t>
            </w:r>
          </w:p>
        </w:tc>
        <w:tc>
          <w:tcPr>
            <w:tcW w:w="851" w:type="dxa"/>
            <w:tcBorders>
              <w:bottom w:val="nil"/>
            </w:tcBorders>
            <w:shd w:val="clear" w:color="auto" w:fill="auto"/>
          </w:tcPr>
          <w:p w14:paraId="1D2337C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0%</w:t>
            </w:r>
          </w:p>
        </w:tc>
        <w:tc>
          <w:tcPr>
            <w:tcW w:w="1559" w:type="dxa"/>
            <w:tcBorders>
              <w:bottom w:val="nil"/>
            </w:tcBorders>
            <w:shd w:val="clear" w:color="auto" w:fill="auto"/>
          </w:tcPr>
          <w:p w14:paraId="6B1F3F0E"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no bueno</w:t>
            </w:r>
          </w:p>
        </w:tc>
        <w:tc>
          <w:tcPr>
            <w:tcW w:w="567" w:type="dxa"/>
            <w:vMerge w:val="restart"/>
            <w:shd w:val="clear" w:color="auto" w:fill="auto"/>
          </w:tcPr>
          <w:p w14:paraId="28C2E8A9" w14:textId="77777777" w:rsidR="00BB4FDA" w:rsidRPr="00591BD8" w:rsidRDefault="00BB4FDA" w:rsidP="00BB4FDA">
            <w:pPr>
              <w:tabs>
                <w:tab w:val="left" w:pos="2410"/>
              </w:tabs>
              <w:spacing w:after="0"/>
              <w:jc w:val="center"/>
              <w:rPr>
                <w:rFonts w:ascii="Times New Roman" w:hAnsi="Times New Roman"/>
                <w:bCs/>
                <w:sz w:val="20"/>
                <w:szCs w:val="20"/>
              </w:rPr>
            </w:pPr>
          </w:p>
          <w:p w14:paraId="58645683" w14:textId="77777777" w:rsidR="00BB4FDA" w:rsidRPr="00591BD8" w:rsidRDefault="00BB4FDA" w:rsidP="00BB4FDA">
            <w:pPr>
              <w:tabs>
                <w:tab w:val="left" w:pos="2410"/>
              </w:tabs>
              <w:spacing w:after="0"/>
              <w:jc w:val="center"/>
              <w:rPr>
                <w:rFonts w:ascii="Times New Roman" w:hAnsi="Times New Roman"/>
                <w:bCs/>
                <w:sz w:val="20"/>
                <w:szCs w:val="20"/>
              </w:rPr>
            </w:pPr>
          </w:p>
          <w:p w14:paraId="1C57C57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3.10</w:t>
            </w:r>
          </w:p>
        </w:tc>
        <w:tc>
          <w:tcPr>
            <w:tcW w:w="709" w:type="dxa"/>
            <w:vMerge w:val="restart"/>
            <w:shd w:val="clear" w:color="auto" w:fill="auto"/>
          </w:tcPr>
          <w:p w14:paraId="6E404DCF" w14:textId="77777777" w:rsidR="00BB4FDA" w:rsidRPr="00591BD8" w:rsidRDefault="00BB4FDA" w:rsidP="00BB4FDA">
            <w:pPr>
              <w:tabs>
                <w:tab w:val="left" w:pos="2410"/>
              </w:tabs>
              <w:spacing w:after="0"/>
              <w:jc w:val="center"/>
              <w:rPr>
                <w:rFonts w:ascii="Times New Roman" w:hAnsi="Times New Roman"/>
                <w:bCs/>
                <w:sz w:val="20"/>
                <w:szCs w:val="20"/>
              </w:rPr>
            </w:pPr>
          </w:p>
          <w:p w14:paraId="33F5F2A4" w14:textId="77777777" w:rsidR="00BB4FDA" w:rsidRPr="00591BD8" w:rsidRDefault="00BB4FDA" w:rsidP="00BB4FDA">
            <w:pPr>
              <w:tabs>
                <w:tab w:val="left" w:pos="2410"/>
              </w:tabs>
              <w:spacing w:after="0"/>
              <w:jc w:val="center"/>
              <w:rPr>
                <w:rFonts w:ascii="Times New Roman" w:hAnsi="Times New Roman"/>
                <w:bCs/>
                <w:sz w:val="20"/>
                <w:szCs w:val="20"/>
              </w:rPr>
            </w:pPr>
          </w:p>
          <w:p w14:paraId="7D6A3B8A"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3.00</w:t>
            </w:r>
          </w:p>
        </w:tc>
        <w:tc>
          <w:tcPr>
            <w:tcW w:w="567" w:type="dxa"/>
            <w:vMerge w:val="restart"/>
            <w:shd w:val="clear" w:color="auto" w:fill="auto"/>
          </w:tcPr>
          <w:p w14:paraId="6F7B25A6" w14:textId="77777777" w:rsidR="00BB4FDA" w:rsidRPr="00591BD8" w:rsidRDefault="00BB4FDA" w:rsidP="00BB4FDA">
            <w:pPr>
              <w:tabs>
                <w:tab w:val="left" w:pos="2410"/>
              </w:tabs>
              <w:spacing w:after="0"/>
              <w:jc w:val="center"/>
              <w:rPr>
                <w:rFonts w:ascii="Times New Roman" w:hAnsi="Times New Roman"/>
                <w:bCs/>
                <w:sz w:val="20"/>
                <w:szCs w:val="20"/>
              </w:rPr>
            </w:pPr>
          </w:p>
          <w:p w14:paraId="62604FB5" w14:textId="77777777" w:rsidR="00BB4FDA" w:rsidRPr="00591BD8" w:rsidRDefault="00BB4FDA" w:rsidP="00BB4FDA">
            <w:pPr>
              <w:tabs>
                <w:tab w:val="left" w:pos="2410"/>
              </w:tabs>
              <w:spacing w:after="0"/>
              <w:jc w:val="center"/>
              <w:rPr>
                <w:rFonts w:ascii="Times New Roman" w:hAnsi="Times New Roman"/>
                <w:bCs/>
                <w:sz w:val="20"/>
                <w:szCs w:val="20"/>
              </w:rPr>
            </w:pPr>
          </w:p>
          <w:p w14:paraId="23DEBD1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2.00</w:t>
            </w:r>
          </w:p>
          <w:p w14:paraId="33087871"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val="restart"/>
            <w:shd w:val="clear" w:color="auto" w:fill="auto"/>
          </w:tcPr>
          <w:p w14:paraId="67014829" w14:textId="77777777" w:rsidR="00BB4FDA" w:rsidRPr="00591BD8" w:rsidRDefault="00BB4FDA" w:rsidP="00BB4FDA">
            <w:pPr>
              <w:tabs>
                <w:tab w:val="left" w:pos="2410"/>
              </w:tabs>
              <w:spacing w:after="0"/>
              <w:jc w:val="center"/>
              <w:rPr>
                <w:rFonts w:ascii="Times New Roman" w:hAnsi="Times New Roman"/>
                <w:bCs/>
                <w:sz w:val="20"/>
                <w:szCs w:val="20"/>
              </w:rPr>
            </w:pPr>
          </w:p>
          <w:p w14:paraId="373A472E" w14:textId="77777777" w:rsidR="00BB4FDA" w:rsidRPr="00591BD8" w:rsidRDefault="00BB4FDA" w:rsidP="00BB4FDA">
            <w:pPr>
              <w:tabs>
                <w:tab w:val="left" w:pos="2410"/>
              </w:tabs>
              <w:spacing w:after="0"/>
              <w:jc w:val="center"/>
              <w:rPr>
                <w:rFonts w:ascii="Times New Roman" w:hAnsi="Times New Roman"/>
                <w:bCs/>
                <w:sz w:val="20"/>
                <w:szCs w:val="20"/>
              </w:rPr>
            </w:pPr>
          </w:p>
          <w:p w14:paraId="51C973F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4.00</w:t>
            </w:r>
          </w:p>
        </w:tc>
      </w:tr>
      <w:tr w:rsidR="00BB4FDA" w:rsidRPr="00591BD8" w14:paraId="435827E5" w14:textId="77777777" w:rsidTr="000475D4">
        <w:trPr>
          <w:jc w:val="center"/>
        </w:trPr>
        <w:tc>
          <w:tcPr>
            <w:tcW w:w="932" w:type="dxa"/>
            <w:vMerge/>
            <w:shd w:val="clear" w:color="auto" w:fill="auto"/>
            <w:vAlign w:val="center"/>
          </w:tcPr>
          <w:p w14:paraId="299A851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27EFD8F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bottom w:val="nil"/>
            </w:tcBorders>
            <w:shd w:val="clear" w:color="auto" w:fill="auto"/>
          </w:tcPr>
          <w:p w14:paraId="37630B8B"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17.6-25.0</w:t>
            </w:r>
          </w:p>
        </w:tc>
        <w:tc>
          <w:tcPr>
            <w:tcW w:w="283" w:type="dxa"/>
            <w:tcBorders>
              <w:top w:val="nil"/>
              <w:bottom w:val="nil"/>
            </w:tcBorders>
            <w:shd w:val="clear" w:color="auto" w:fill="auto"/>
          </w:tcPr>
          <w:p w14:paraId="6DBE937B"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w:t>
            </w:r>
          </w:p>
        </w:tc>
        <w:tc>
          <w:tcPr>
            <w:tcW w:w="851" w:type="dxa"/>
            <w:tcBorders>
              <w:top w:val="nil"/>
              <w:bottom w:val="nil"/>
            </w:tcBorders>
            <w:shd w:val="clear" w:color="auto" w:fill="auto"/>
          </w:tcPr>
          <w:p w14:paraId="432CDA8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20%</w:t>
            </w:r>
          </w:p>
        </w:tc>
        <w:tc>
          <w:tcPr>
            <w:tcW w:w="1559" w:type="dxa"/>
            <w:tcBorders>
              <w:top w:val="nil"/>
              <w:bottom w:val="nil"/>
            </w:tcBorders>
            <w:shd w:val="clear" w:color="auto" w:fill="auto"/>
          </w:tcPr>
          <w:p w14:paraId="2AC86F32"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vAlign w:val="center"/>
          </w:tcPr>
          <w:p w14:paraId="665E983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5601977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161DBB1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vAlign w:val="center"/>
          </w:tcPr>
          <w:p w14:paraId="0D9FB7BB"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764FD5B1" w14:textId="77777777" w:rsidTr="000475D4">
        <w:trPr>
          <w:jc w:val="center"/>
        </w:trPr>
        <w:tc>
          <w:tcPr>
            <w:tcW w:w="932" w:type="dxa"/>
            <w:vMerge/>
            <w:shd w:val="clear" w:color="auto" w:fill="auto"/>
            <w:vAlign w:val="center"/>
          </w:tcPr>
          <w:p w14:paraId="27FF676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0C2F2494"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bottom w:val="nil"/>
            </w:tcBorders>
            <w:shd w:val="clear" w:color="auto" w:fill="auto"/>
          </w:tcPr>
          <w:p w14:paraId="079AF7CB"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25.1-32.5</w:t>
            </w:r>
          </w:p>
        </w:tc>
        <w:tc>
          <w:tcPr>
            <w:tcW w:w="283" w:type="dxa"/>
            <w:tcBorders>
              <w:top w:val="nil"/>
              <w:bottom w:val="nil"/>
            </w:tcBorders>
            <w:shd w:val="clear" w:color="auto" w:fill="auto"/>
          </w:tcPr>
          <w:p w14:paraId="5F20D8CC"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9</w:t>
            </w:r>
          </w:p>
        </w:tc>
        <w:tc>
          <w:tcPr>
            <w:tcW w:w="851" w:type="dxa"/>
            <w:tcBorders>
              <w:top w:val="nil"/>
              <w:bottom w:val="nil"/>
            </w:tcBorders>
            <w:shd w:val="clear" w:color="auto" w:fill="auto"/>
          </w:tcPr>
          <w:p w14:paraId="0A29F0D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45%</w:t>
            </w:r>
          </w:p>
        </w:tc>
        <w:tc>
          <w:tcPr>
            <w:tcW w:w="1559" w:type="dxa"/>
            <w:tcBorders>
              <w:top w:val="nil"/>
              <w:bottom w:val="nil"/>
            </w:tcBorders>
            <w:shd w:val="clear" w:color="auto" w:fill="auto"/>
          </w:tcPr>
          <w:p w14:paraId="06091CB6"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vAlign w:val="center"/>
          </w:tcPr>
          <w:p w14:paraId="269F12D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3FA36A3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7B2EE08C"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vAlign w:val="center"/>
          </w:tcPr>
          <w:p w14:paraId="506964E0"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01F41FA3" w14:textId="77777777" w:rsidTr="000475D4">
        <w:trPr>
          <w:jc w:val="center"/>
        </w:trPr>
        <w:tc>
          <w:tcPr>
            <w:tcW w:w="932" w:type="dxa"/>
            <w:vMerge/>
            <w:shd w:val="clear" w:color="auto" w:fill="auto"/>
            <w:vAlign w:val="center"/>
          </w:tcPr>
          <w:p w14:paraId="6FC5CBD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122A616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tcBorders>
            <w:shd w:val="clear" w:color="auto" w:fill="auto"/>
          </w:tcPr>
          <w:p w14:paraId="7EE7AC51"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32.6-40.0</w:t>
            </w:r>
          </w:p>
        </w:tc>
        <w:tc>
          <w:tcPr>
            <w:tcW w:w="283" w:type="dxa"/>
            <w:tcBorders>
              <w:top w:val="nil"/>
            </w:tcBorders>
            <w:shd w:val="clear" w:color="auto" w:fill="auto"/>
          </w:tcPr>
          <w:p w14:paraId="18CAA1F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7</w:t>
            </w:r>
          </w:p>
        </w:tc>
        <w:tc>
          <w:tcPr>
            <w:tcW w:w="851" w:type="dxa"/>
            <w:tcBorders>
              <w:top w:val="nil"/>
            </w:tcBorders>
            <w:shd w:val="clear" w:color="auto" w:fill="auto"/>
          </w:tcPr>
          <w:p w14:paraId="30B3D14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35%</w:t>
            </w:r>
          </w:p>
        </w:tc>
        <w:tc>
          <w:tcPr>
            <w:tcW w:w="1559" w:type="dxa"/>
            <w:tcBorders>
              <w:top w:val="nil"/>
            </w:tcBorders>
            <w:shd w:val="clear" w:color="auto" w:fill="auto"/>
          </w:tcPr>
          <w:p w14:paraId="7D7151A2"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bien</w:t>
            </w:r>
          </w:p>
        </w:tc>
        <w:tc>
          <w:tcPr>
            <w:tcW w:w="567" w:type="dxa"/>
            <w:vMerge/>
            <w:shd w:val="clear" w:color="auto" w:fill="auto"/>
            <w:vAlign w:val="center"/>
          </w:tcPr>
          <w:p w14:paraId="7F55ABC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14AD1D10"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5040A1D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vAlign w:val="center"/>
          </w:tcPr>
          <w:p w14:paraId="5A8D8354"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5DD6BDED" w14:textId="77777777" w:rsidTr="000475D4">
        <w:trPr>
          <w:jc w:val="center"/>
        </w:trPr>
        <w:tc>
          <w:tcPr>
            <w:tcW w:w="932" w:type="dxa"/>
            <w:vMerge/>
            <w:shd w:val="clear" w:color="auto" w:fill="auto"/>
            <w:vAlign w:val="center"/>
          </w:tcPr>
          <w:p w14:paraId="0D6E55D5"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val="restart"/>
            <w:shd w:val="clear" w:color="auto" w:fill="auto"/>
            <w:vAlign w:val="center"/>
          </w:tcPr>
          <w:p w14:paraId="5CDF86E6"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viib</w:t>
            </w:r>
            <w:proofErr w:type="spellEnd"/>
          </w:p>
        </w:tc>
        <w:tc>
          <w:tcPr>
            <w:tcW w:w="1123" w:type="dxa"/>
            <w:tcBorders>
              <w:bottom w:val="nil"/>
            </w:tcBorders>
            <w:shd w:val="clear" w:color="auto" w:fill="auto"/>
          </w:tcPr>
          <w:p w14:paraId="06471115"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10.0-17.5</w:t>
            </w:r>
          </w:p>
        </w:tc>
        <w:tc>
          <w:tcPr>
            <w:tcW w:w="283" w:type="dxa"/>
            <w:tcBorders>
              <w:bottom w:val="nil"/>
            </w:tcBorders>
            <w:shd w:val="clear" w:color="auto" w:fill="auto"/>
          </w:tcPr>
          <w:p w14:paraId="6F66F8D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w:t>
            </w:r>
          </w:p>
        </w:tc>
        <w:tc>
          <w:tcPr>
            <w:tcW w:w="851" w:type="dxa"/>
            <w:tcBorders>
              <w:bottom w:val="nil"/>
            </w:tcBorders>
            <w:shd w:val="clear" w:color="auto" w:fill="auto"/>
          </w:tcPr>
          <w:p w14:paraId="5C65425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10%</w:t>
            </w:r>
          </w:p>
        </w:tc>
        <w:tc>
          <w:tcPr>
            <w:tcW w:w="1559" w:type="dxa"/>
            <w:tcBorders>
              <w:bottom w:val="nil"/>
            </w:tcBorders>
            <w:shd w:val="clear" w:color="auto" w:fill="auto"/>
          </w:tcPr>
          <w:p w14:paraId="33B01080"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no bueno</w:t>
            </w:r>
          </w:p>
        </w:tc>
        <w:tc>
          <w:tcPr>
            <w:tcW w:w="567" w:type="dxa"/>
            <w:vMerge w:val="restart"/>
            <w:shd w:val="clear" w:color="auto" w:fill="auto"/>
          </w:tcPr>
          <w:p w14:paraId="0475DE1D" w14:textId="77777777" w:rsidR="00BB4FDA" w:rsidRPr="00591BD8" w:rsidRDefault="00BB4FDA" w:rsidP="00BB4FDA">
            <w:pPr>
              <w:tabs>
                <w:tab w:val="left" w:pos="2410"/>
              </w:tabs>
              <w:spacing w:after="0"/>
              <w:jc w:val="center"/>
              <w:rPr>
                <w:rFonts w:ascii="Times New Roman" w:hAnsi="Times New Roman"/>
                <w:bCs/>
                <w:sz w:val="20"/>
                <w:szCs w:val="20"/>
              </w:rPr>
            </w:pPr>
          </w:p>
          <w:p w14:paraId="38D6A952" w14:textId="77777777" w:rsidR="00BB4FDA" w:rsidRPr="00591BD8" w:rsidRDefault="00BB4FDA" w:rsidP="00BB4FDA">
            <w:pPr>
              <w:tabs>
                <w:tab w:val="left" w:pos="2410"/>
              </w:tabs>
              <w:spacing w:after="0"/>
              <w:jc w:val="center"/>
              <w:rPr>
                <w:rFonts w:ascii="Times New Roman" w:hAnsi="Times New Roman"/>
                <w:bCs/>
                <w:sz w:val="20"/>
                <w:szCs w:val="20"/>
              </w:rPr>
            </w:pPr>
          </w:p>
          <w:p w14:paraId="1E2A7DC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3.25</w:t>
            </w:r>
          </w:p>
        </w:tc>
        <w:tc>
          <w:tcPr>
            <w:tcW w:w="709" w:type="dxa"/>
            <w:vMerge w:val="restart"/>
            <w:shd w:val="clear" w:color="auto" w:fill="auto"/>
          </w:tcPr>
          <w:p w14:paraId="5F278CE9" w14:textId="77777777" w:rsidR="00BB4FDA" w:rsidRPr="00591BD8" w:rsidRDefault="00BB4FDA" w:rsidP="00BB4FDA">
            <w:pPr>
              <w:tabs>
                <w:tab w:val="left" w:pos="2410"/>
              </w:tabs>
              <w:spacing w:after="0"/>
              <w:jc w:val="center"/>
              <w:rPr>
                <w:rFonts w:ascii="Times New Roman" w:hAnsi="Times New Roman"/>
                <w:bCs/>
                <w:sz w:val="20"/>
                <w:szCs w:val="20"/>
              </w:rPr>
            </w:pPr>
          </w:p>
          <w:p w14:paraId="0B55B624" w14:textId="77777777" w:rsidR="00BB4FDA" w:rsidRPr="00591BD8" w:rsidRDefault="00BB4FDA" w:rsidP="00BB4FDA">
            <w:pPr>
              <w:tabs>
                <w:tab w:val="left" w:pos="2410"/>
              </w:tabs>
              <w:spacing w:after="0"/>
              <w:jc w:val="center"/>
              <w:rPr>
                <w:rFonts w:ascii="Times New Roman" w:hAnsi="Times New Roman"/>
                <w:bCs/>
                <w:sz w:val="20"/>
                <w:szCs w:val="20"/>
              </w:rPr>
            </w:pPr>
          </w:p>
          <w:p w14:paraId="7239415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3.00</w:t>
            </w:r>
          </w:p>
        </w:tc>
        <w:tc>
          <w:tcPr>
            <w:tcW w:w="567" w:type="dxa"/>
            <w:vMerge w:val="restart"/>
            <w:shd w:val="clear" w:color="auto" w:fill="auto"/>
          </w:tcPr>
          <w:p w14:paraId="198CA4A3" w14:textId="77777777" w:rsidR="00BB4FDA" w:rsidRPr="00591BD8" w:rsidRDefault="00BB4FDA" w:rsidP="00BB4FDA">
            <w:pPr>
              <w:tabs>
                <w:tab w:val="left" w:pos="2410"/>
              </w:tabs>
              <w:spacing w:after="0"/>
              <w:jc w:val="center"/>
              <w:rPr>
                <w:rFonts w:ascii="Times New Roman" w:hAnsi="Times New Roman"/>
                <w:bCs/>
                <w:sz w:val="20"/>
                <w:szCs w:val="20"/>
              </w:rPr>
            </w:pPr>
          </w:p>
          <w:p w14:paraId="4394C8C5" w14:textId="77777777" w:rsidR="00BB4FDA" w:rsidRPr="00591BD8" w:rsidRDefault="00BB4FDA" w:rsidP="00BB4FDA">
            <w:pPr>
              <w:tabs>
                <w:tab w:val="left" w:pos="2410"/>
              </w:tabs>
              <w:spacing w:after="0"/>
              <w:jc w:val="center"/>
              <w:rPr>
                <w:rFonts w:ascii="Times New Roman" w:hAnsi="Times New Roman"/>
                <w:bCs/>
                <w:sz w:val="20"/>
                <w:szCs w:val="20"/>
              </w:rPr>
            </w:pPr>
          </w:p>
          <w:p w14:paraId="3DE71950"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1.00</w:t>
            </w:r>
          </w:p>
          <w:p w14:paraId="65C2F38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val="restart"/>
            <w:shd w:val="clear" w:color="auto" w:fill="auto"/>
          </w:tcPr>
          <w:p w14:paraId="03060167" w14:textId="77777777" w:rsidR="00BB4FDA" w:rsidRPr="00591BD8" w:rsidRDefault="00BB4FDA" w:rsidP="00BB4FDA">
            <w:pPr>
              <w:tabs>
                <w:tab w:val="left" w:pos="2410"/>
              </w:tabs>
              <w:spacing w:after="0"/>
              <w:jc w:val="center"/>
              <w:rPr>
                <w:rFonts w:ascii="Times New Roman" w:hAnsi="Times New Roman"/>
                <w:bCs/>
                <w:sz w:val="20"/>
                <w:szCs w:val="20"/>
              </w:rPr>
            </w:pPr>
          </w:p>
          <w:p w14:paraId="18708118" w14:textId="77777777" w:rsidR="00BB4FDA" w:rsidRPr="00591BD8" w:rsidRDefault="00BB4FDA" w:rsidP="00BB4FDA">
            <w:pPr>
              <w:tabs>
                <w:tab w:val="left" w:pos="2410"/>
              </w:tabs>
              <w:spacing w:after="0"/>
              <w:jc w:val="center"/>
              <w:rPr>
                <w:rFonts w:ascii="Times New Roman" w:hAnsi="Times New Roman"/>
                <w:bCs/>
                <w:sz w:val="20"/>
                <w:szCs w:val="20"/>
              </w:rPr>
            </w:pPr>
          </w:p>
          <w:p w14:paraId="2F1543CC"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4.00</w:t>
            </w:r>
          </w:p>
        </w:tc>
      </w:tr>
      <w:tr w:rsidR="00BB4FDA" w:rsidRPr="00591BD8" w14:paraId="24C9B116" w14:textId="77777777" w:rsidTr="000475D4">
        <w:trPr>
          <w:jc w:val="center"/>
        </w:trPr>
        <w:tc>
          <w:tcPr>
            <w:tcW w:w="932" w:type="dxa"/>
            <w:vMerge/>
            <w:shd w:val="clear" w:color="auto" w:fill="auto"/>
            <w:vAlign w:val="center"/>
          </w:tcPr>
          <w:p w14:paraId="12411E9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67404DF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bottom w:val="nil"/>
            </w:tcBorders>
            <w:shd w:val="clear" w:color="auto" w:fill="auto"/>
          </w:tcPr>
          <w:p w14:paraId="28FCE4C3"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17.6-25.0</w:t>
            </w:r>
          </w:p>
        </w:tc>
        <w:tc>
          <w:tcPr>
            <w:tcW w:w="283" w:type="dxa"/>
            <w:tcBorders>
              <w:top w:val="nil"/>
              <w:bottom w:val="nil"/>
            </w:tcBorders>
            <w:shd w:val="clear" w:color="auto" w:fill="auto"/>
          </w:tcPr>
          <w:p w14:paraId="08E0DE5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w:t>
            </w:r>
          </w:p>
        </w:tc>
        <w:tc>
          <w:tcPr>
            <w:tcW w:w="851" w:type="dxa"/>
            <w:tcBorders>
              <w:top w:val="nil"/>
              <w:bottom w:val="nil"/>
            </w:tcBorders>
            <w:shd w:val="clear" w:color="auto" w:fill="auto"/>
          </w:tcPr>
          <w:p w14:paraId="35BF613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15%</w:t>
            </w:r>
          </w:p>
        </w:tc>
        <w:tc>
          <w:tcPr>
            <w:tcW w:w="1559" w:type="dxa"/>
            <w:tcBorders>
              <w:top w:val="nil"/>
              <w:bottom w:val="nil"/>
            </w:tcBorders>
            <w:shd w:val="clear" w:color="auto" w:fill="auto"/>
          </w:tcPr>
          <w:p w14:paraId="0A0237A2"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tcPr>
          <w:p w14:paraId="121CE67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79C342C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52E6497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tcPr>
          <w:p w14:paraId="679D9E2A"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48BA5506" w14:textId="77777777" w:rsidTr="000475D4">
        <w:trPr>
          <w:jc w:val="center"/>
        </w:trPr>
        <w:tc>
          <w:tcPr>
            <w:tcW w:w="932" w:type="dxa"/>
            <w:vMerge/>
            <w:shd w:val="clear" w:color="auto" w:fill="auto"/>
            <w:vAlign w:val="center"/>
          </w:tcPr>
          <w:p w14:paraId="689B6E2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2DDEEF1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bottom w:val="nil"/>
            </w:tcBorders>
            <w:shd w:val="clear" w:color="auto" w:fill="auto"/>
          </w:tcPr>
          <w:p w14:paraId="5C8651E4"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25.1-32.5</w:t>
            </w:r>
          </w:p>
        </w:tc>
        <w:tc>
          <w:tcPr>
            <w:tcW w:w="283" w:type="dxa"/>
            <w:tcBorders>
              <w:top w:val="nil"/>
              <w:bottom w:val="nil"/>
            </w:tcBorders>
            <w:shd w:val="clear" w:color="auto" w:fill="auto"/>
          </w:tcPr>
          <w:p w14:paraId="28007531"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9</w:t>
            </w:r>
          </w:p>
        </w:tc>
        <w:tc>
          <w:tcPr>
            <w:tcW w:w="851" w:type="dxa"/>
            <w:tcBorders>
              <w:top w:val="nil"/>
              <w:bottom w:val="nil"/>
            </w:tcBorders>
            <w:shd w:val="clear" w:color="auto" w:fill="auto"/>
          </w:tcPr>
          <w:p w14:paraId="349C98B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45%</w:t>
            </w:r>
          </w:p>
        </w:tc>
        <w:tc>
          <w:tcPr>
            <w:tcW w:w="1559" w:type="dxa"/>
            <w:tcBorders>
              <w:top w:val="nil"/>
              <w:bottom w:val="nil"/>
            </w:tcBorders>
            <w:shd w:val="clear" w:color="auto" w:fill="auto"/>
          </w:tcPr>
          <w:p w14:paraId="769B7BFE"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tcPr>
          <w:p w14:paraId="45F0C578"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40D472B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3141ECC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tcPr>
          <w:p w14:paraId="4925C318"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511DFB8F" w14:textId="77777777" w:rsidTr="000475D4">
        <w:trPr>
          <w:jc w:val="center"/>
        </w:trPr>
        <w:tc>
          <w:tcPr>
            <w:tcW w:w="932" w:type="dxa"/>
            <w:vMerge/>
            <w:shd w:val="clear" w:color="auto" w:fill="auto"/>
            <w:vAlign w:val="center"/>
          </w:tcPr>
          <w:p w14:paraId="2F5C90D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0D2D2A6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bottom w:val="single" w:sz="4" w:space="0" w:color="auto"/>
            </w:tcBorders>
            <w:shd w:val="clear" w:color="auto" w:fill="auto"/>
          </w:tcPr>
          <w:p w14:paraId="18C1526B"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32.6-40.0</w:t>
            </w:r>
          </w:p>
        </w:tc>
        <w:tc>
          <w:tcPr>
            <w:tcW w:w="283" w:type="dxa"/>
            <w:tcBorders>
              <w:top w:val="nil"/>
              <w:bottom w:val="single" w:sz="4" w:space="0" w:color="auto"/>
            </w:tcBorders>
            <w:shd w:val="clear" w:color="auto" w:fill="auto"/>
          </w:tcPr>
          <w:p w14:paraId="4B839CE6"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6</w:t>
            </w:r>
          </w:p>
        </w:tc>
        <w:tc>
          <w:tcPr>
            <w:tcW w:w="851" w:type="dxa"/>
            <w:tcBorders>
              <w:top w:val="nil"/>
              <w:bottom w:val="single" w:sz="4" w:space="0" w:color="auto"/>
            </w:tcBorders>
            <w:shd w:val="clear" w:color="auto" w:fill="auto"/>
          </w:tcPr>
          <w:p w14:paraId="13270F1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w:t>
            </w:r>
          </w:p>
        </w:tc>
        <w:tc>
          <w:tcPr>
            <w:tcW w:w="1559" w:type="dxa"/>
            <w:tcBorders>
              <w:top w:val="nil"/>
              <w:bottom w:val="single" w:sz="4" w:space="0" w:color="auto"/>
            </w:tcBorders>
            <w:shd w:val="clear" w:color="auto" w:fill="auto"/>
          </w:tcPr>
          <w:p w14:paraId="5C7A3ED7"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bien</w:t>
            </w:r>
          </w:p>
        </w:tc>
        <w:tc>
          <w:tcPr>
            <w:tcW w:w="567" w:type="dxa"/>
            <w:vMerge/>
            <w:shd w:val="clear" w:color="auto" w:fill="auto"/>
          </w:tcPr>
          <w:p w14:paraId="58C9B05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4C80066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66835C3C"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tcPr>
          <w:p w14:paraId="5876656D"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7EB6D3B4" w14:textId="77777777" w:rsidTr="000475D4">
        <w:trPr>
          <w:jc w:val="center"/>
        </w:trPr>
        <w:tc>
          <w:tcPr>
            <w:tcW w:w="932" w:type="dxa"/>
            <w:vMerge w:val="restart"/>
            <w:shd w:val="clear" w:color="auto" w:fill="auto"/>
            <w:vAlign w:val="center"/>
          </w:tcPr>
          <w:p w14:paraId="06488B8C"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Elhafidziyah</w:t>
            </w:r>
            <w:proofErr w:type="spellEnd"/>
            <w:r w:rsidRPr="00591BD8">
              <w:rPr>
                <w:rFonts w:ascii="Times New Roman" w:hAnsi="Times New Roman"/>
                <w:bCs/>
                <w:sz w:val="20"/>
                <w:szCs w:val="20"/>
              </w:rPr>
              <w:t xml:space="preserve"> Middle School</w:t>
            </w:r>
          </w:p>
        </w:tc>
        <w:tc>
          <w:tcPr>
            <w:tcW w:w="567" w:type="dxa"/>
            <w:vMerge w:val="restart"/>
            <w:shd w:val="clear" w:color="auto" w:fill="auto"/>
            <w:vAlign w:val="center"/>
          </w:tcPr>
          <w:p w14:paraId="281E313C"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viia</w:t>
            </w:r>
            <w:proofErr w:type="spellEnd"/>
          </w:p>
        </w:tc>
        <w:tc>
          <w:tcPr>
            <w:tcW w:w="1123" w:type="dxa"/>
            <w:tcBorders>
              <w:bottom w:val="nil"/>
            </w:tcBorders>
            <w:shd w:val="clear" w:color="auto" w:fill="auto"/>
          </w:tcPr>
          <w:p w14:paraId="29538731"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10.0-17.5</w:t>
            </w:r>
          </w:p>
        </w:tc>
        <w:tc>
          <w:tcPr>
            <w:tcW w:w="283" w:type="dxa"/>
            <w:tcBorders>
              <w:bottom w:val="nil"/>
            </w:tcBorders>
            <w:shd w:val="clear" w:color="auto" w:fill="auto"/>
          </w:tcPr>
          <w:p w14:paraId="047625B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w:t>
            </w:r>
          </w:p>
        </w:tc>
        <w:tc>
          <w:tcPr>
            <w:tcW w:w="851" w:type="dxa"/>
            <w:tcBorders>
              <w:bottom w:val="nil"/>
            </w:tcBorders>
            <w:shd w:val="clear" w:color="auto" w:fill="auto"/>
          </w:tcPr>
          <w:p w14:paraId="439198D3"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5%</w:t>
            </w:r>
          </w:p>
        </w:tc>
        <w:tc>
          <w:tcPr>
            <w:tcW w:w="1559" w:type="dxa"/>
            <w:tcBorders>
              <w:bottom w:val="nil"/>
            </w:tcBorders>
            <w:shd w:val="clear" w:color="auto" w:fill="auto"/>
          </w:tcPr>
          <w:p w14:paraId="43A0AB19"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no bueno</w:t>
            </w:r>
          </w:p>
        </w:tc>
        <w:tc>
          <w:tcPr>
            <w:tcW w:w="567" w:type="dxa"/>
            <w:vMerge w:val="restart"/>
            <w:shd w:val="clear" w:color="auto" w:fill="auto"/>
          </w:tcPr>
          <w:p w14:paraId="05D0ACC3" w14:textId="77777777" w:rsidR="00BB4FDA" w:rsidRPr="00591BD8" w:rsidRDefault="00BB4FDA" w:rsidP="00BB4FDA">
            <w:pPr>
              <w:tabs>
                <w:tab w:val="left" w:pos="2410"/>
              </w:tabs>
              <w:spacing w:after="0"/>
              <w:jc w:val="center"/>
              <w:rPr>
                <w:rFonts w:ascii="Times New Roman" w:hAnsi="Times New Roman"/>
                <w:bCs/>
                <w:sz w:val="20"/>
                <w:szCs w:val="20"/>
              </w:rPr>
            </w:pPr>
          </w:p>
          <w:p w14:paraId="31805DAD" w14:textId="77777777" w:rsidR="00BB4FDA" w:rsidRPr="00591BD8" w:rsidRDefault="00BB4FDA" w:rsidP="00BB4FDA">
            <w:pPr>
              <w:tabs>
                <w:tab w:val="left" w:pos="2410"/>
              </w:tabs>
              <w:spacing w:after="0"/>
              <w:jc w:val="center"/>
              <w:rPr>
                <w:rFonts w:ascii="Times New Roman" w:hAnsi="Times New Roman"/>
                <w:bCs/>
                <w:sz w:val="20"/>
                <w:szCs w:val="20"/>
              </w:rPr>
            </w:pPr>
          </w:p>
          <w:p w14:paraId="24968F7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3.15</w:t>
            </w:r>
          </w:p>
        </w:tc>
        <w:tc>
          <w:tcPr>
            <w:tcW w:w="709" w:type="dxa"/>
            <w:vMerge w:val="restart"/>
            <w:shd w:val="clear" w:color="auto" w:fill="auto"/>
          </w:tcPr>
          <w:p w14:paraId="3F0A84FF" w14:textId="77777777" w:rsidR="00BB4FDA" w:rsidRPr="00591BD8" w:rsidRDefault="00BB4FDA" w:rsidP="00BB4FDA">
            <w:pPr>
              <w:tabs>
                <w:tab w:val="left" w:pos="2410"/>
              </w:tabs>
              <w:spacing w:after="0"/>
              <w:jc w:val="center"/>
              <w:rPr>
                <w:rFonts w:ascii="Times New Roman" w:hAnsi="Times New Roman"/>
                <w:bCs/>
                <w:sz w:val="20"/>
                <w:szCs w:val="20"/>
              </w:rPr>
            </w:pPr>
          </w:p>
          <w:p w14:paraId="119D1064" w14:textId="77777777" w:rsidR="00BB4FDA" w:rsidRPr="00591BD8" w:rsidRDefault="00BB4FDA" w:rsidP="00BB4FDA">
            <w:pPr>
              <w:tabs>
                <w:tab w:val="left" w:pos="2410"/>
              </w:tabs>
              <w:spacing w:after="0"/>
              <w:jc w:val="center"/>
              <w:rPr>
                <w:rFonts w:ascii="Times New Roman" w:hAnsi="Times New Roman"/>
                <w:bCs/>
                <w:sz w:val="20"/>
                <w:szCs w:val="20"/>
              </w:rPr>
            </w:pPr>
          </w:p>
          <w:p w14:paraId="518A996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3.00</w:t>
            </w:r>
          </w:p>
        </w:tc>
        <w:tc>
          <w:tcPr>
            <w:tcW w:w="567" w:type="dxa"/>
            <w:vMerge w:val="restart"/>
            <w:shd w:val="clear" w:color="auto" w:fill="auto"/>
          </w:tcPr>
          <w:p w14:paraId="4D2CE747" w14:textId="77777777" w:rsidR="00BB4FDA" w:rsidRPr="00591BD8" w:rsidRDefault="00BB4FDA" w:rsidP="00BB4FDA">
            <w:pPr>
              <w:tabs>
                <w:tab w:val="left" w:pos="2410"/>
              </w:tabs>
              <w:spacing w:after="0"/>
              <w:jc w:val="center"/>
              <w:rPr>
                <w:rFonts w:ascii="Times New Roman" w:hAnsi="Times New Roman"/>
                <w:bCs/>
                <w:sz w:val="20"/>
                <w:szCs w:val="20"/>
              </w:rPr>
            </w:pPr>
          </w:p>
          <w:p w14:paraId="4EB17239" w14:textId="77777777" w:rsidR="00BB4FDA" w:rsidRPr="00591BD8" w:rsidRDefault="00BB4FDA" w:rsidP="00BB4FDA">
            <w:pPr>
              <w:tabs>
                <w:tab w:val="left" w:pos="2410"/>
              </w:tabs>
              <w:spacing w:after="0"/>
              <w:jc w:val="center"/>
              <w:rPr>
                <w:rFonts w:ascii="Times New Roman" w:hAnsi="Times New Roman"/>
                <w:bCs/>
                <w:sz w:val="20"/>
                <w:szCs w:val="20"/>
              </w:rPr>
            </w:pPr>
          </w:p>
          <w:p w14:paraId="0877CFF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1.00</w:t>
            </w:r>
          </w:p>
          <w:p w14:paraId="7772401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val="restart"/>
            <w:shd w:val="clear" w:color="auto" w:fill="auto"/>
          </w:tcPr>
          <w:p w14:paraId="7510F0B7" w14:textId="77777777" w:rsidR="00BB4FDA" w:rsidRPr="00591BD8" w:rsidRDefault="00BB4FDA" w:rsidP="00BB4FDA">
            <w:pPr>
              <w:tabs>
                <w:tab w:val="left" w:pos="2410"/>
              </w:tabs>
              <w:spacing w:after="0"/>
              <w:jc w:val="center"/>
              <w:rPr>
                <w:rFonts w:ascii="Times New Roman" w:hAnsi="Times New Roman"/>
                <w:bCs/>
                <w:sz w:val="20"/>
                <w:szCs w:val="20"/>
              </w:rPr>
            </w:pPr>
          </w:p>
          <w:p w14:paraId="25EF9830" w14:textId="77777777" w:rsidR="00BB4FDA" w:rsidRPr="00591BD8" w:rsidRDefault="00BB4FDA" w:rsidP="00BB4FDA">
            <w:pPr>
              <w:tabs>
                <w:tab w:val="left" w:pos="2410"/>
              </w:tabs>
              <w:spacing w:after="0"/>
              <w:jc w:val="center"/>
              <w:rPr>
                <w:rFonts w:ascii="Times New Roman" w:hAnsi="Times New Roman"/>
                <w:bCs/>
                <w:sz w:val="20"/>
                <w:szCs w:val="20"/>
              </w:rPr>
            </w:pPr>
          </w:p>
          <w:p w14:paraId="73AE3F1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4.00</w:t>
            </w:r>
          </w:p>
        </w:tc>
      </w:tr>
      <w:tr w:rsidR="00BB4FDA" w:rsidRPr="00591BD8" w14:paraId="37C2A1AE" w14:textId="77777777" w:rsidTr="000475D4">
        <w:trPr>
          <w:jc w:val="center"/>
        </w:trPr>
        <w:tc>
          <w:tcPr>
            <w:tcW w:w="932" w:type="dxa"/>
            <w:vMerge/>
            <w:shd w:val="clear" w:color="auto" w:fill="auto"/>
            <w:vAlign w:val="center"/>
          </w:tcPr>
          <w:p w14:paraId="46E4A0E4"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4BFD387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bottom w:val="nil"/>
            </w:tcBorders>
            <w:shd w:val="clear" w:color="auto" w:fill="auto"/>
          </w:tcPr>
          <w:p w14:paraId="4C6B63A7"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17.6-25.0</w:t>
            </w:r>
          </w:p>
        </w:tc>
        <w:tc>
          <w:tcPr>
            <w:tcW w:w="283" w:type="dxa"/>
            <w:tcBorders>
              <w:top w:val="nil"/>
              <w:bottom w:val="nil"/>
            </w:tcBorders>
            <w:shd w:val="clear" w:color="auto" w:fill="auto"/>
          </w:tcPr>
          <w:p w14:paraId="4EDAC94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w:t>
            </w:r>
          </w:p>
        </w:tc>
        <w:tc>
          <w:tcPr>
            <w:tcW w:w="851" w:type="dxa"/>
            <w:tcBorders>
              <w:top w:val="nil"/>
              <w:bottom w:val="nil"/>
            </w:tcBorders>
            <w:shd w:val="clear" w:color="auto" w:fill="auto"/>
          </w:tcPr>
          <w:p w14:paraId="3A68407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20%</w:t>
            </w:r>
          </w:p>
        </w:tc>
        <w:tc>
          <w:tcPr>
            <w:tcW w:w="1559" w:type="dxa"/>
            <w:tcBorders>
              <w:top w:val="nil"/>
              <w:bottom w:val="nil"/>
            </w:tcBorders>
            <w:shd w:val="clear" w:color="auto" w:fill="auto"/>
          </w:tcPr>
          <w:p w14:paraId="4C7E24B8"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vAlign w:val="center"/>
          </w:tcPr>
          <w:p w14:paraId="1E537A9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0393B5B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54AF482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vAlign w:val="center"/>
          </w:tcPr>
          <w:p w14:paraId="636F1698"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1B31DBA0" w14:textId="77777777" w:rsidTr="000475D4">
        <w:trPr>
          <w:jc w:val="center"/>
        </w:trPr>
        <w:tc>
          <w:tcPr>
            <w:tcW w:w="932" w:type="dxa"/>
            <w:vMerge/>
            <w:shd w:val="clear" w:color="auto" w:fill="auto"/>
            <w:vAlign w:val="center"/>
          </w:tcPr>
          <w:p w14:paraId="40C16F98"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57E2FCD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bottom w:val="nil"/>
            </w:tcBorders>
            <w:shd w:val="clear" w:color="auto" w:fill="auto"/>
          </w:tcPr>
          <w:p w14:paraId="3A0A05FE"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25.1-32.5</w:t>
            </w:r>
          </w:p>
        </w:tc>
        <w:tc>
          <w:tcPr>
            <w:tcW w:w="283" w:type="dxa"/>
            <w:tcBorders>
              <w:top w:val="nil"/>
              <w:bottom w:val="nil"/>
            </w:tcBorders>
            <w:shd w:val="clear" w:color="auto" w:fill="auto"/>
          </w:tcPr>
          <w:p w14:paraId="2D94A4DC"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8</w:t>
            </w:r>
          </w:p>
        </w:tc>
        <w:tc>
          <w:tcPr>
            <w:tcW w:w="851" w:type="dxa"/>
            <w:tcBorders>
              <w:top w:val="nil"/>
              <w:bottom w:val="nil"/>
            </w:tcBorders>
            <w:shd w:val="clear" w:color="auto" w:fill="auto"/>
          </w:tcPr>
          <w:p w14:paraId="3A855F9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40%</w:t>
            </w:r>
          </w:p>
        </w:tc>
        <w:tc>
          <w:tcPr>
            <w:tcW w:w="1559" w:type="dxa"/>
            <w:tcBorders>
              <w:top w:val="nil"/>
              <w:bottom w:val="nil"/>
            </w:tcBorders>
            <w:shd w:val="clear" w:color="auto" w:fill="auto"/>
          </w:tcPr>
          <w:p w14:paraId="29B2061E"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vAlign w:val="center"/>
          </w:tcPr>
          <w:p w14:paraId="2DA17EF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278FDFC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5588DBA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vAlign w:val="center"/>
          </w:tcPr>
          <w:p w14:paraId="7E5EF033"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4116027F" w14:textId="77777777" w:rsidTr="000475D4">
        <w:trPr>
          <w:jc w:val="center"/>
        </w:trPr>
        <w:tc>
          <w:tcPr>
            <w:tcW w:w="932" w:type="dxa"/>
            <w:vMerge/>
            <w:shd w:val="clear" w:color="auto" w:fill="auto"/>
            <w:vAlign w:val="center"/>
          </w:tcPr>
          <w:p w14:paraId="62C34FC8"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79D8908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tcBorders>
            <w:shd w:val="clear" w:color="auto" w:fill="auto"/>
          </w:tcPr>
          <w:p w14:paraId="042CB7CD"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32.6-40.0</w:t>
            </w:r>
          </w:p>
        </w:tc>
        <w:tc>
          <w:tcPr>
            <w:tcW w:w="283" w:type="dxa"/>
            <w:tcBorders>
              <w:top w:val="nil"/>
            </w:tcBorders>
            <w:shd w:val="clear" w:color="auto" w:fill="auto"/>
          </w:tcPr>
          <w:p w14:paraId="4293EE9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7</w:t>
            </w:r>
          </w:p>
        </w:tc>
        <w:tc>
          <w:tcPr>
            <w:tcW w:w="851" w:type="dxa"/>
            <w:tcBorders>
              <w:top w:val="nil"/>
            </w:tcBorders>
            <w:shd w:val="clear" w:color="auto" w:fill="auto"/>
          </w:tcPr>
          <w:p w14:paraId="4034FCC2"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35%</w:t>
            </w:r>
          </w:p>
        </w:tc>
        <w:tc>
          <w:tcPr>
            <w:tcW w:w="1559" w:type="dxa"/>
            <w:tcBorders>
              <w:top w:val="nil"/>
            </w:tcBorders>
            <w:shd w:val="clear" w:color="auto" w:fill="auto"/>
          </w:tcPr>
          <w:p w14:paraId="4BD17984"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bien</w:t>
            </w:r>
          </w:p>
        </w:tc>
        <w:tc>
          <w:tcPr>
            <w:tcW w:w="567" w:type="dxa"/>
            <w:vMerge/>
            <w:shd w:val="clear" w:color="auto" w:fill="auto"/>
            <w:vAlign w:val="center"/>
          </w:tcPr>
          <w:p w14:paraId="3E2F8B0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40F56FB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22CBE06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vAlign w:val="center"/>
          </w:tcPr>
          <w:p w14:paraId="026D95BC"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6497FAD7" w14:textId="77777777" w:rsidTr="000475D4">
        <w:trPr>
          <w:jc w:val="center"/>
        </w:trPr>
        <w:tc>
          <w:tcPr>
            <w:tcW w:w="932" w:type="dxa"/>
            <w:vMerge/>
            <w:shd w:val="clear" w:color="auto" w:fill="auto"/>
            <w:vAlign w:val="center"/>
          </w:tcPr>
          <w:p w14:paraId="046A9AA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val="restart"/>
            <w:shd w:val="clear" w:color="auto" w:fill="auto"/>
            <w:vAlign w:val="center"/>
          </w:tcPr>
          <w:p w14:paraId="08BAF0D4"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viib</w:t>
            </w:r>
            <w:proofErr w:type="spellEnd"/>
          </w:p>
        </w:tc>
        <w:tc>
          <w:tcPr>
            <w:tcW w:w="1123" w:type="dxa"/>
            <w:tcBorders>
              <w:bottom w:val="nil"/>
            </w:tcBorders>
            <w:shd w:val="clear" w:color="auto" w:fill="auto"/>
          </w:tcPr>
          <w:p w14:paraId="06B59C6F"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10.0-17.5</w:t>
            </w:r>
          </w:p>
        </w:tc>
        <w:tc>
          <w:tcPr>
            <w:tcW w:w="283" w:type="dxa"/>
            <w:tcBorders>
              <w:bottom w:val="nil"/>
            </w:tcBorders>
            <w:shd w:val="clear" w:color="auto" w:fill="auto"/>
          </w:tcPr>
          <w:p w14:paraId="003EF04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6</w:t>
            </w:r>
          </w:p>
        </w:tc>
        <w:tc>
          <w:tcPr>
            <w:tcW w:w="851" w:type="dxa"/>
            <w:tcBorders>
              <w:bottom w:val="nil"/>
            </w:tcBorders>
            <w:shd w:val="clear" w:color="auto" w:fill="auto"/>
          </w:tcPr>
          <w:p w14:paraId="0994456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w:t>
            </w:r>
          </w:p>
        </w:tc>
        <w:tc>
          <w:tcPr>
            <w:tcW w:w="1559" w:type="dxa"/>
            <w:tcBorders>
              <w:bottom w:val="nil"/>
            </w:tcBorders>
            <w:shd w:val="clear" w:color="auto" w:fill="auto"/>
          </w:tcPr>
          <w:p w14:paraId="1837856B"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no bueno</w:t>
            </w:r>
          </w:p>
        </w:tc>
        <w:tc>
          <w:tcPr>
            <w:tcW w:w="567" w:type="dxa"/>
            <w:vMerge w:val="restart"/>
            <w:shd w:val="clear" w:color="auto" w:fill="auto"/>
          </w:tcPr>
          <w:p w14:paraId="25062B89" w14:textId="77777777" w:rsidR="00BB4FDA" w:rsidRPr="00591BD8" w:rsidRDefault="00BB4FDA" w:rsidP="00BB4FDA">
            <w:pPr>
              <w:tabs>
                <w:tab w:val="left" w:pos="2410"/>
              </w:tabs>
              <w:spacing w:after="0"/>
              <w:jc w:val="center"/>
              <w:rPr>
                <w:rFonts w:ascii="Times New Roman" w:hAnsi="Times New Roman"/>
                <w:bCs/>
                <w:sz w:val="20"/>
                <w:szCs w:val="20"/>
              </w:rPr>
            </w:pPr>
          </w:p>
          <w:p w14:paraId="78C0F0E8" w14:textId="77777777" w:rsidR="00BB4FDA" w:rsidRPr="00591BD8" w:rsidRDefault="00BB4FDA" w:rsidP="00BB4FDA">
            <w:pPr>
              <w:tabs>
                <w:tab w:val="left" w:pos="2410"/>
              </w:tabs>
              <w:spacing w:after="0"/>
              <w:jc w:val="center"/>
              <w:rPr>
                <w:rFonts w:ascii="Times New Roman" w:hAnsi="Times New Roman"/>
                <w:bCs/>
                <w:sz w:val="20"/>
                <w:szCs w:val="20"/>
              </w:rPr>
            </w:pPr>
          </w:p>
          <w:p w14:paraId="1CE6FD71"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2.85</w:t>
            </w:r>
          </w:p>
        </w:tc>
        <w:tc>
          <w:tcPr>
            <w:tcW w:w="709" w:type="dxa"/>
            <w:vMerge w:val="restart"/>
            <w:shd w:val="clear" w:color="auto" w:fill="auto"/>
          </w:tcPr>
          <w:p w14:paraId="64958B60" w14:textId="77777777" w:rsidR="00BB4FDA" w:rsidRPr="00591BD8" w:rsidRDefault="00BB4FDA" w:rsidP="00BB4FDA">
            <w:pPr>
              <w:tabs>
                <w:tab w:val="left" w:pos="2410"/>
              </w:tabs>
              <w:spacing w:after="0"/>
              <w:jc w:val="center"/>
              <w:rPr>
                <w:rFonts w:ascii="Times New Roman" w:hAnsi="Times New Roman"/>
                <w:bCs/>
                <w:sz w:val="20"/>
                <w:szCs w:val="20"/>
              </w:rPr>
            </w:pPr>
          </w:p>
          <w:p w14:paraId="5810CBF9" w14:textId="77777777" w:rsidR="00BB4FDA" w:rsidRPr="00591BD8" w:rsidRDefault="00BB4FDA" w:rsidP="00BB4FDA">
            <w:pPr>
              <w:tabs>
                <w:tab w:val="left" w:pos="2410"/>
              </w:tabs>
              <w:spacing w:after="0"/>
              <w:jc w:val="center"/>
              <w:rPr>
                <w:rFonts w:ascii="Times New Roman" w:hAnsi="Times New Roman"/>
                <w:bCs/>
                <w:sz w:val="20"/>
                <w:szCs w:val="20"/>
              </w:rPr>
            </w:pPr>
          </w:p>
          <w:p w14:paraId="176DF11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3.00</w:t>
            </w:r>
          </w:p>
        </w:tc>
        <w:tc>
          <w:tcPr>
            <w:tcW w:w="567" w:type="dxa"/>
            <w:vMerge w:val="restart"/>
            <w:shd w:val="clear" w:color="auto" w:fill="auto"/>
          </w:tcPr>
          <w:p w14:paraId="6FC6CCD4" w14:textId="77777777" w:rsidR="00BB4FDA" w:rsidRPr="00591BD8" w:rsidRDefault="00BB4FDA" w:rsidP="00BB4FDA">
            <w:pPr>
              <w:tabs>
                <w:tab w:val="left" w:pos="2410"/>
              </w:tabs>
              <w:spacing w:after="0"/>
              <w:jc w:val="center"/>
              <w:rPr>
                <w:rFonts w:ascii="Times New Roman" w:hAnsi="Times New Roman"/>
                <w:bCs/>
                <w:sz w:val="20"/>
                <w:szCs w:val="20"/>
              </w:rPr>
            </w:pPr>
          </w:p>
          <w:p w14:paraId="38ACDA2D" w14:textId="77777777" w:rsidR="00BB4FDA" w:rsidRPr="00591BD8" w:rsidRDefault="00BB4FDA" w:rsidP="00BB4FDA">
            <w:pPr>
              <w:tabs>
                <w:tab w:val="left" w:pos="2410"/>
              </w:tabs>
              <w:spacing w:after="0"/>
              <w:jc w:val="center"/>
              <w:rPr>
                <w:rFonts w:ascii="Times New Roman" w:hAnsi="Times New Roman"/>
                <w:bCs/>
                <w:sz w:val="20"/>
                <w:szCs w:val="20"/>
              </w:rPr>
            </w:pPr>
          </w:p>
          <w:p w14:paraId="5A3ABF3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1.00</w:t>
            </w:r>
          </w:p>
          <w:p w14:paraId="1AC7B7F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val="restart"/>
            <w:shd w:val="clear" w:color="auto" w:fill="auto"/>
          </w:tcPr>
          <w:p w14:paraId="7AEA5885" w14:textId="77777777" w:rsidR="00BB4FDA" w:rsidRPr="00591BD8" w:rsidRDefault="00BB4FDA" w:rsidP="00BB4FDA">
            <w:pPr>
              <w:tabs>
                <w:tab w:val="left" w:pos="2410"/>
              </w:tabs>
              <w:spacing w:after="0"/>
              <w:jc w:val="center"/>
              <w:rPr>
                <w:rFonts w:ascii="Times New Roman" w:hAnsi="Times New Roman"/>
                <w:bCs/>
                <w:sz w:val="20"/>
                <w:szCs w:val="20"/>
              </w:rPr>
            </w:pPr>
          </w:p>
          <w:p w14:paraId="0B52F0F0" w14:textId="77777777" w:rsidR="00BB4FDA" w:rsidRPr="00591BD8" w:rsidRDefault="00BB4FDA" w:rsidP="00BB4FDA">
            <w:pPr>
              <w:tabs>
                <w:tab w:val="left" w:pos="2410"/>
              </w:tabs>
              <w:spacing w:after="0"/>
              <w:jc w:val="center"/>
              <w:rPr>
                <w:rFonts w:ascii="Times New Roman" w:hAnsi="Times New Roman"/>
                <w:bCs/>
                <w:sz w:val="20"/>
                <w:szCs w:val="20"/>
              </w:rPr>
            </w:pPr>
          </w:p>
          <w:p w14:paraId="07F1DC2A"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4.00</w:t>
            </w:r>
          </w:p>
        </w:tc>
      </w:tr>
      <w:tr w:rsidR="00BB4FDA" w:rsidRPr="00591BD8" w14:paraId="700DE7F0" w14:textId="77777777" w:rsidTr="000475D4">
        <w:trPr>
          <w:jc w:val="center"/>
        </w:trPr>
        <w:tc>
          <w:tcPr>
            <w:tcW w:w="932" w:type="dxa"/>
            <w:vMerge/>
            <w:shd w:val="clear" w:color="auto" w:fill="auto"/>
            <w:vAlign w:val="center"/>
          </w:tcPr>
          <w:p w14:paraId="357F042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64CF94F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bottom w:val="nil"/>
            </w:tcBorders>
            <w:shd w:val="clear" w:color="auto" w:fill="auto"/>
          </w:tcPr>
          <w:p w14:paraId="0A930CDF"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17.6-25.0</w:t>
            </w:r>
          </w:p>
        </w:tc>
        <w:tc>
          <w:tcPr>
            <w:tcW w:w="283" w:type="dxa"/>
            <w:tcBorders>
              <w:top w:val="nil"/>
              <w:bottom w:val="nil"/>
            </w:tcBorders>
            <w:shd w:val="clear" w:color="auto" w:fill="auto"/>
          </w:tcPr>
          <w:p w14:paraId="4661768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4</w:t>
            </w:r>
          </w:p>
        </w:tc>
        <w:tc>
          <w:tcPr>
            <w:tcW w:w="851" w:type="dxa"/>
            <w:tcBorders>
              <w:top w:val="nil"/>
              <w:bottom w:val="nil"/>
            </w:tcBorders>
            <w:shd w:val="clear" w:color="auto" w:fill="auto"/>
          </w:tcPr>
          <w:p w14:paraId="240C85F0"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20%</w:t>
            </w:r>
          </w:p>
        </w:tc>
        <w:tc>
          <w:tcPr>
            <w:tcW w:w="1559" w:type="dxa"/>
            <w:tcBorders>
              <w:top w:val="nil"/>
              <w:bottom w:val="nil"/>
            </w:tcBorders>
            <w:shd w:val="clear" w:color="auto" w:fill="auto"/>
          </w:tcPr>
          <w:p w14:paraId="0F7B15D1"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tcPr>
          <w:p w14:paraId="0000AD4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35050331"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1C584CB1"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tcPr>
          <w:p w14:paraId="0282D40F"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59F11277" w14:textId="77777777" w:rsidTr="000475D4">
        <w:trPr>
          <w:jc w:val="center"/>
        </w:trPr>
        <w:tc>
          <w:tcPr>
            <w:tcW w:w="932" w:type="dxa"/>
            <w:vMerge/>
            <w:shd w:val="clear" w:color="auto" w:fill="auto"/>
            <w:vAlign w:val="center"/>
          </w:tcPr>
          <w:p w14:paraId="6087CDA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54E8C2E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bottom w:val="nil"/>
            </w:tcBorders>
            <w:shd w:val="clear" w:color="auto" w:fill="auto"/>
          </w:tcPr>
          <w:p w14:paraId="0089E5D9"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25.1-32.5</w:t>
            </w:r>
          </w:p>
        </w:tc>
        <w:tc>
          <w:tcPr>
            <w:tcW w:w="283" w:type="dxa"/>
            <w:tcBorders>
              <w:top w:val="nil"/>
              <w:bottom w:val="nil"/>
            </w:tcBorders>
            <w:shd w:val="clear" w:color="auto" w:fill="auto"/>
          </w:tcPr>
          <w:p w14:paraId="454365B6"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5</w:t>
            </w:r>
          </w:p>
        </w:tc>
        <w:tc>
          <w:tcPr>
            <w:tcW w:w="851" w:type="dxa"/>
            <w:tcBorders>
              <w:top w:val="nil"/>
              <w:bottom w:val="nil"/>
            </w:tcBorders>
            <w:shd w:val="clear" w:color="auto" w:fill="auto"/>
          </w:tcPr>
          <w:p w14:paraId="45A1D39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25%</w:t>
            </w:r>
          </w:p>
        </w:tc>
        <w:tc>
          <w:tcPr>
            <w:tcW w:w="1559" w:type="dxa"/>
            <w:tcBorders>
              <w:top w:val="nil"/>
              <w:bottom w:val="nil"/>
            </w:tcBorders>
            <w:shd w:val="clear" w:color="auto" w:fill="auto"/>
          </w:tcPr>
          <w:p w14:paraId="6C3EBF9C"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tcPr>
          <w:p w14:paraId="3E49C4A0"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2F08F8D4"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063EBA88"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tcPr>
          <w:p w14:paraId="2F869AE5"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025B9416" w14:textId="77777777" w:rsidTr="000475D4">
        <w:trPr>
          <w:jc w:val="center"/>
        </w:trPr>
        <w:tc>
          <w:tcPr>
            <w:tcW w:w="932" w:type="dxa"/>
            <w:vMerge/>
            <w:shd w:val="clear" w:color="auto" w:fill="auto"/>
            <w:vAlign w:val="center"/>
          </w:tcPr>
          <w:p w14:paraId="105E3FD1"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0AC2ED9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23" w:type="dxa"/>
            <w:tcBorders>
              <w:top w:val="nil"/>
              <w:bottom w:val="single" w:sz="4" w:space="0" w:color="auto"/>
            </w:tcBorders>
            <w:shd w:val="clear" w:color="auto" w:fill="auto"/>
          </w:tcPr>
          <w:p w14:paraId="7320E02A"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bCs/>
                <w:sz w:val="20"/>
                <w:szCs w:val="20"/>
              </w:rPr>
              <w:t>32.6-40.0</w:t>
            </w:r>
          </w:p>
        </w:tc>
        <w:tc>
          <w:tcPr>
            <w:tcW w:w="283" w:type="dxa"/>
            <w:tcBorders>
              <w:top w:val="nil"/>
              <w:bottom w:val="single" w:sz="4" w:space="0" w:color="auto"/>
            </w:tcBorders>
            <w:shd w:val="clear" w:color="auto" w:fill="auto"/>
          </w:tcPr>
          <w:p w14:paraId="4F449B33"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5</w:t>
            </w:r>
          </w:p>
        </w:tc>
        <w:tc>
          <w:tcPr>
            <w:tcW w:w="851" w:type="dxa"/>
            <w:tcBorders>
              <w:top w:val="nil"/>
              <w:bottom w:val="single" w:sz="4" w:space="0" w:color="auto"/>
            </w:tcBorders>
            <w:shd w:val="clear" w:color="auto" w:fill="auto"/>
          </w:tcPr>
          <w:p w14:paraId="1602DBC1"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25%</w:t>
            </w:r>
          </w:p>
        </w:tc>
        <w:tc>
          <w:tcPr>
            <w:tcW w:w="1559" w:type="dxa"/>
            <w:tcBorders>
              <w:top w:val="nil"/>
              <w:bottom w:val="single" w:sz="4" w:space="0" w:color="auto"/>
            </w:tcBorders>
            <w:shd w:val="clear" w:color="auto" w:fill="auto"/>
          </w:tcPr>
          <w:p w14:paraId="06B547FE"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bien</w:t>
            </w:r>
          </w:p>
        </w:tc>
        <w:tc>
          <w:tcPr>
            <w:tcW w:w="567" w:type="dxa"/>
            <w:vMerge/>
            <w:shd w:val="clear" w:color="auto" w:fill="auto"/>
          </w:tcPr>
          <w:p w14:paraId="73979CA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1A62D55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5CA0514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425" w:type="dxa"/>
            <w:vMerge/>
            <w:shd w:val="clear" w:color="auto" w:fill="auto"/>
          </w:tcPr>
          <w:p w14:paraId="0D5B4B11" w14:textId="77777777" w:rsidR="00BB4FDA" w:rsidRPr="00591BD8" w:rsidRDefault="00BB4FDA" w:rsidP="00BB4FDA">
            <w:pPr>
              <w:tabs>
                <w:tab w:val="left" w:pos="2410"/>
              </w:tabs>
              <w:spacing w:after="0"/>
              <w:jc w:val="center"/>
              <w:rPr>
                <w:rFonts w:ascii="Times New Roman" w:hAnsi="Times New Roman"/>
                <w:bCs/>
                <w:sz w:val="20"/>
                <w:szCs w:val="20"/>
              </w:rPr>
            </w:pPr>
          </w:p>
        </w:tc>
      </w:tr>
      <w:bookmarkEnd w:id="1"/>
    </w:tbl>
    <w:p w14:paraId="147C2FA0" w14:textId="77777777" w:rsidR="00BB4FDA" w:rsidRPr="00591BD8" w:rsidRDefault="00BB4FDA" w:rsidP="00BB4FDA">
      <w:pPr>
        <w:pStyle w:val="E-JournalBody"/>
        <w:ind w:firstLine="0"/>
        <w:jc w:val="center"/>
        <w:rPr>
          <w:sz w:val="20"/>
          <w:szCs w:val="20"/>
        </w:rPr>
      </w:pPr>
    </w:p>
    <w:p w14:paraId="3DD64C42" w14:textId="77777777" w:rsidR="00BB4FDA" w:rsidRPr="00591BD8" w:rsidRDefault="00BB4FDA" w:rsidP="00BB4FDA">
      <w:pPr>
        <w:pStyle w:val="E-JournalBody"/>
      </w:pPr>
      <w:r w:rsidRPr="00591BD8">
        <w:t>Según los resultados de la tabla anterior, se puede decir que SMPN 7 Muaro Jambi y SMPS Elhafidziyah clases VII A, VII B son superiores en la categoría buena. En la siguiente tabla se presenta una descripción de la prueba de descripción de respuestas de los estudiantes en el aprendizaje de matemáticas.</w:t>
      </w:r>
    </w:p>
    <w:p w14:paraId="6E9C2DE3" w14:textId="61384941" w:rsidR="00FA39F0" w:rsidRPr="00591BD8" w:rsidRDefault="00BB4FDA" w:rsidP="00BB4FDA">
      <w:pPr>
        <w:pStyle w:val="E-JournalBody"/>
        <w:rPr>
          <w:sz w:val="20"/>
          <w:szCs w:val="20"/>
        </w:rPr>
      </w:pPr>
      <w:r w:rsidRPr="00591BD8">
        <w:rPr>
          <w:sz w:val="20"/>
          <w:szCs w:val="20"/>
        </w:rPr>
        <w:t>Table 7. Descripción de la prueba de las respuestas de los estudiantes al aprendizaje de matemáticas</w:t>
      </w:r>
    </w:p>
    <w:tbl>
      <w:tblPr>
        <w:tblW w:w="7817"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71"/>
        <w:gridCol w:w="61"/>
        <w:gridCol w:w="506"/>
        <w:gridCol w:w="1184"/>
        <w:gridCol w:w="241"/>
        <w:gridCol w:w="893"/>
        <w:gridCol w:w="1559"/>
        <w:gridCol w:w="567"/>
        <w:gridCol w:w="709"/>
        <w:gridCol w:w="567"/>
        <w:gridCol w:w="659"/>
      </w:tblGrid>
      <w:tr w:rsidR="00BB4FDA" w:rsidRPr="00591BD8" w14:paraId="5ED3F284" w14:textId="77777777" w:rsidTr="000475D4">
        <w:trPr>
          <w:jc w:val="center"/>
        </w:trPr>
        <w:tc>
          <w:tcPr>
            <w:tcW w:w="871" w:type="dxa"/>
            <w:shd w:val="clear" w:color="auto" w:fill="auto"/>
            <w:vAlign w:val="center"/>
          </w:tcPr>
          <w:p w14:paraId="39319B1C"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Response of the student</w:t>
            </w:r>
          </w:p>
        </w:tc>
        <w:tc>
          <w:tcPr>
            <w:tcW w:w="1751" w:type="dxa"/>
            <w:gridSpan w:val="3"/>
            <w:tcBorders>
              <w:bottom w:val="single" w:sz="4" w:space="0" w:color="auto"/>
            </w:tcBorders>
            <w:shd w:val="clear" w:color="auto" w:fill="auto"/>
            <w:vAlign w:val="center"/>
          </w:tcPr>
          <w:p w14:paraId="3F18643A"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 xml:space="preserve">      Intervals</w:t>
            </w:r>
          </w:p>
        </w:tc>
        <w:tc>
          <w:tcPr>
            <w:tcW w:w="241" w:type="dxa"/>
            <w:tcBorders>
              <w:bottom w:val="single" w:sz="4" w:space="0" w:color="auto"/>
            </w:tcBorders>
            <w:shd w:val="clear" w:color="auto" w:fill="auto"/>
            <w:vAlign w:val="center"/>
          </w:tcPr>
          <w:p w14:paraId="25C9E3DB"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f</w:t>
            </w:r>
          </w:p>
        </w:tc>
        <w:tc>
          <w:tcPr>
            <w:tcW w:w="893" w:type="dxa"/>
            <w:tcBorders>
              <w:bottom w:val="single" w:sz="4" w:space="0" w:color="auto"/>
            </w:tcBorders>
            <w:shd w:val="clear" w:color="auto" w:fill="auto"/>
            <w:vAlign w:val="center"/>
          </w:tcPr>
          <w:p w14:paraId="4D3719C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Percentage</w:t>
            </w:r>
          </w:p>
        </w:tc>
        <w:tc>
          <w:tcPr>
            <w:tcW w:w="1559" w:type="dxa"/>
            <w:tcBorders>
              <w:bottom w:val="single" w:sz="4" w:space="0" w:color="auto"/>
            </w:tcBorders>
            <w:shd w:val="clear" w:color="auto" w:fill="auto"/>
            <w:vAlign w:val="center"/>
          </w:tcPr>
          <w:p w14:paraId="55E4E39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Categories</w:t>
            </w:r>
          </w:p>
        </w:tc>
        <w:tc>
          <w:tcPr>
            <w:tcW w:w="567" w:type="dxa"/>
            <w:shd w:val="clear" w:color="auto" w:fill="auto"/>
            <w:vAlign w:val="center"/>
          </w:tcPr>
          <w:p w14:paraId="48FC4B8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mean</w:t>
            </w:r>
          </w:p>
        </w:tc>
        <w:tc>
          <w:tcPr>
            <w:tcW w:w="709" w:type="dxa"/>
            <w:shd w:val="clear" w:color="auto" w:fill="auto"/>
            <w:vAlign w:val="center"/>
          </w:tcPr>
          <w:p w14:paraId="11EA904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Median</w:t>
            </w:r>
          </w:p>
        </w:tc>
        <w:tc>
          <w:tcPr>
            <w:tcW w:w="567" w:type="dxa"/>
            <w:shd w:val="clear" w:color="auto" w:fill="auto"/>
            <w:vAlign w:val="center"/>
          </w:tcPr>
          <w:p w14:paraId="6EADAE8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Min</w:t>
            </w:r>
          </w:p>
        </w:tc>
        <w:tc>
          <w:tcPr>
            <w:tcW w:w="659" w:type="dxa"/>
            <w:shd w:val="clear" w:color="auto" w:fill="auto"/>
            <w:vAlign w:val="center"/>
          </w:tcPr>
          <w:p w14:paraId="180DA732"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bCs/>
                <w:sz w:val="20"/>
                <w:szCs w:val="20"/>
              </w:rPr>
              <w:t>max</w:t>
            </w:r>
          </w:p>
        </w:tc>
      </w:tr>
      <w:tr w:rsidR="00BB4FDA" w:rsidRPr="00591BD8" w14:paraId="5003D6CC" w14:textId="77777777" w:rsidTr="000475D4">
        <w:trPr>
          <w:jc w:val="center"/>
        </w:trPr>
        <w:tc>
          <w:tcPr>
            <w:tcW w:w="932" w:type="dxa"/>
            <w:gridSpan w:val="2"/>
            <w:vMerge w:val="restart"/>
            <w:shd w:val="clear" w:color="auto" w:fill="auto"/>
            <w:vAlign w:val="center"/>
          </w:tcPr>
          <w:p w14:paraId="040BAB7E"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smpn</w:t>
            </w:r>
            <w:proofErr w:type="spellEnd"/>
            <w:r w:rsidRPr="00591BD8">
              <w:rPr>
                <w:rFonts w:ascii="Times New Roman" w:hAnsi="Times New Roman"/>
                <w:bCs/>
                <w:sz w:val="20"/>
                <w:szCs w:val="20"/>
              </w:rPr>
              <w:t xml:space="preserve"> 7 </w:t>
            </w:r>
            <w:proofErr w:type="spellStart"/>
            <w:r w:rsidRPr="00591BD8">
              <w:rPr>
                <w:rFonts w:ascii="Times New Roman" w:hAnsi="Times New Roman"/>
                <w:bCs/>
                <w:sz w:val="20"/>
                <w:szCs w:val="20"/>
              </w:rPr>
              <w:t>Muaro</w:t>
            </w:r>
            <w:proofErr w:type="spellEnd"/>
            <w:r w:rsidRPr="00591BD8">
              <w:rPr>
                <w:rFonts w:ascii="Times New Roman" w:hAnsi="Times New Roman"/>
                <w:bCs/>
                <w:sz w:val="20"/>
                <w:szCs w:val="20"/>
              </w:rPr>
              <w:t xml:space="preserve"> Jambi</w:t>
            </w:r>
          </w:p>
        </w:tc>
        <w:tc>
          <w:tcPr>
            <w:tcW w:w="506" w:type="dxa"/>
            <w:vMerge w:val="restart"/>
            <w:shd w:val="clear" w:color="auto" w:fill="auto"/>
            <w:vAlign w:val="center"/>
          </w:tcPr>
          <w:p w14:paraId="4EBEA5B6"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viia</w:t>
            </w:r>
            <w:proofErr w:type="spellEnd"/>
          </w:p>
        </w:tc>
        <w:tc>
          <w:tcPr>
            <w:tcW w:w="1184" w:type="dxa"/>
            <w:tcBorders>
              <w:bottom w:val="nil"/>
            </w:tcBorders>
            <w:shd w:val="clear" w:color="auto" w:fill="auto"/>
          </w:tcPr>
          <w:p w14:paraId="02E82604"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21.0-36.75</w:t>
            </w:r>
          </w:p>
        </w:tc>
        <w:tc>
          <w:tcPr>
            <w:tcW w:w="241" w:type="dxa"/>
            <w:tcBorders>
              <w:bottom w:val="nil"/>
            </w:tcBorders>
            <w:shd w:val="clear" w:color="auto" w:fill="auto"/>
          </w:tcPr>
          <w:p w14:paraId="1F071456"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0</w:t>
            </w:r>
          </w:p>
        </w:tc>
        <w:tc>
          <w:tcPr>
            <w:tcW w:w="893" w:type="dxa"/>
            <w:tcBorders>
              <w:bottom w:val="nil"/>
            </w:tcBorders>
            <w:shd w:val="clear" w:color="auto" w:fill="auto"/>
          </w:tcPr>
          <w:p w14:paraId="6DA3F983"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0%</w:t>
            </w:r>
          </w:p>
        </w:tc>
        <w:tc>
          <w:tcPr>
            <w:tcW w:w="1559" w:type="dxa"/>
            <w:tcBorders>
              <w:bottom w:val="nil"/>
            </w:tcBorders>
            <w:shd w:val="clear" w:color="auto" w:fill="auto"/>
          </w:tcPr>
          <w:p w14:paraId="46A8185E"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no bueno</w:t>
            </w:r>
          </w:p>
        </w:tc>
        <w:tc>
          <w:tcPr>
            <w:tcW w:w="567" w:type="dxa"/>
            <w:vMerge w:val="restart"/>
            <w:shd w:val="clear" w:color="auto" w:fill="auto"/>
          </w:tcPr>
          <w:p w14:paraId="39BB98B4" w14:textId="77777777" w:rsidR="00BB4FDA" w:rsidRPr="00591BD8" w:rsidRDefault="00BB4FDA" w:rsidP="00BB4FDA">
            <w:pPr>
              <w:tabs>
                <w:tab w:val="left" w:pos="2410"/>
              </w:tabs>
              <w:spacing w:after="0"/>
              <w:jc w:val="center"/>
              <w:rPr>
                <w:rFonts w:ascii="Times New Roman" w:hAnsi="Times New Roman"/>
                <w:sz w:val="20"/>
                <w:szCs w:val="20"/>
              </w:rPr>
            </w:pPr>
          </w:p>
          <w:p w14:paraId="6CDE00F6" w14:textId="77777777" w:rsidR="00BB4FDA" w:rsidRPr="00591BD8" w:rsidRDefault="00BB4FDA" w:rsidP="00BB4FDA">
            <w:pPr>
              <w:tabs>
                <w:tab w:val="left" w:pos="2410"/>
              </w:tabs>
              <w:spacing w:after="0"/>
              <w:jc w:val="center"/>
              <w:rPr>
                <w:rFonts w:ascii="Times New Roman" w:hAnsi="Times New Roman"/>
                <w:sz w:val="20"/>
                <w:szCs w:val="20"/>
              </w:rPr>
            </w:pPr>
          </w:p>
          <w:p w14:paraId="1BD7D9D3"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2.85</w:t>
            </w:r>
          </w:p>
        </w:tc>
        <w:tc>
          <w:tcPr>
            <w:tcW w:w="709" w:type="dxa"/>
            <w:vMerge w:val="restart"/>
            <w:shd w:val="clear" w:color="auto" w:fill="auto"/>
          </w:tcPr>
          <w:p w14:paraId="42CC4241" w14:textId="77777777" w:rsidR="00BB4FDA" w:rsidRPr="00591BD8" w:rsidRDefault="00BB4FDA" w:rsidP="00BB4FDA">
            <w:pPr>
              <w:tabs>
                <w:tab w:val="left" w:pos="2410"/>
              </w:tabs>
              <w:spacing w:after="0"/>
              <w:jc w:val="center"/>
              <w:rPr>
                <w:rFonts w:ascii="Times New Roman" w:hAnsi="Times New Roman"/>
                <w:sz w:val="20"/>
                <w:szCs w:val="20"/>
              </w:rPr>
            </w:pPr>
          </w:p>
          <w:p w14:paraId="31167FD8" w14:textId="77777777" w:rsidR="00BB4FDA" w:rsidRPr="00591BD8" w:rsidRDefault="00BB4FDA" w:rsidP="00BB4FDA">
            <w:pPr>
              <w:tabs>
                <w:tab w:val="left" w:pos="2410"/>
              </w:tabs>
              <w:spacing w:after="0"/>
              <w:jc w:val="center"/>
              <w:rPr>
                <w:rFonts w:ascii="Times New Roman" w:hAnsi="Times New Roman"/>
                <w:sz w:val="20"/>
                <w:szCs w:val="20"/>
              </w:rPr>
            </w:pPr>
          </w:p>
          <w:p w14:paraId="47335F3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3.00</w:t>
            </w:r>
          </w:p>
        </w:tc>
        <w:tc>
          <w:tcPr>
            <w:tcW w:w="567" w:type="dxa"/>
            <w:vMerge w:val="restart"/>
            <w:shd w:val="clear" w:color="auto" w:fill="auto"/>
          </w:tcPr>
          <w:p w14:paraId="18D830A6" w14:textId="77777777" w:rsidR="00BB4FDA" w:rsidRPr="00591BD8" w:rsidRDefault="00BB4FDA" w:rsidP="00BB4FDA">
            <w:pPr>
              <w:tabs>
                <w:tab w:val="left" w:pos="2410"/>
              </w:tabs>
              <w:spacing w:after="0"/>
              <w:jc w:val="center"/>
              <w:rPr>
                <w:rFonts w:ascii="Times New Roman" w:hAnsi="Times New Roman"/>
                <w:sz w:val="20"/>
                <w:szCs w:val="20"/>
              </w:rPr>
            </w:pPr>
          </w:p>
          <w:p w14:paraId="38CF1337" w14:textId="77777777" w:rsidR="00BB4FDA" w:rsidRPr="00591BD8" w:rsidRDefault="00BB4FDA" w:rsidP="00BB4FDA">
            <w:pPr>
              <w:tabs>
                <w:tab w:val="left" w:pos="2410"/>
              </w:tabs>
              <w:spacing w:after="0"/>
              <w:jc w:val="center"/>
              <w:rPr>
                <w:rFonts w:ascii="Times New Roman" w:hAnsi="Times New Roman"/>
                <w:sz w:val="20"/>
                <w:szCs w:val="20"/>
              </w:rPr>
            </w:pPr>
          </w:p>
          <w:p w14:paraId="7B2106AF" w14:textId="77777777" w:rsidR="00BB4FDA" w:rsidRPr="00591BD8" w:rsidRDefault="00BB4FDA" w:rsidP="00BB4FDA">
            <w:pPr>
              <w:tabs>
                <w:tab w:val="left" w:pos="2410"/>
              </w:tabs>
              <w:spacing w:after="0"/>
              <w:jc w:val="center"/>
              <w:rPr>
                <w:rFonts w:ascii="Times New Roman" w:hAnsi="Times New Roman"/>
                <w:sz w:val="20"/>
                <w:szCs w:val="20"/>
              </w:rPr>
            </w:pPr>
            <w:r w:rsidRPr="00591BD8">
              <w:rPr>
                <w:rFonts w:ascii="Times New Roman" w:hAnsi="Times New Roman"/>
                <w:sz w:val="20"/>
                <w:szCs w:val="20"/>
              </w:rPr>
              <w:t>2.00</w:t>
            </w:r>
          </w:p>
          <w:p w14:paraId="3D0A626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val="restart"/>
            <w:shd w:val="clear" w:color="auto" w:fill="auto"/>
          </w:tcPr>
          <w:p w14:paraId="526D185A" w14:textId="77777777" w:rsidR="00BB4FDA" w:rsidRPr="00591BD8" w:rsidRDefault="00BB4FDA" w:rsidP="00BB4FDA">
            <w:pPr>
              <w:tabs>
                <w:tab w:val="left" w:pos="2410"/>
              </w:tabs>
              <w:spacing w:after="0"/>
              <w:jc w:val="center"/>
              <w:rPr>
                <w:rFonts w:ascii="Times New Roman" w:hAnsi="Times New Roman"/>
                <w:sz w:val="20"/>
                <w:szCs w:val="20"/>
              </w:rPr>
            </w:pPr>
          </w:p>
          <w:p w14:paraId="3E4C0ADD" w14:textId="77777777" w:rsidR="00BB4FDA" w:rsidRPr="00591BD8" w:rsidRDefault="00BB4FDA" w:rsidP="00BB4FDA">
            <w:pPr>
              <w:tabs>
                <w:tab w:val="left" w:pos="2410"/>
              </w:tabs>
              <w:spacing w:after="0"/>
              <w:jc w:val="center"/>
              <w:rPr>
                <w:rFonts w:ascii="Times New Roman" w:hAnsi="Times New Roman"/>
                <w:sz w:val="20"/>
                <w:szCs w:val="20"/>
              </w:rPr>
            </w:pPr>
          </w:p>
          <w:p w14:paraId="064995C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4.00</w:t>
            </w:r>
          </w:p>
        </w:tc>
      </w:tr>
      <w:tr w:rsidR="00BB4FDA" w:rsidRPr="00591BD8" w14:paraId="14B91932" w14:textId="77777777" w:rsidTr="000475D4">
        <w:trPr>
          <w:jc w:val="center"/>
        </w:trPr>
        <w:tc>
          <w:tcPr>
            <w:tcW w:w="932" w:type="dxa"/>
            <w:gridSpan w:val="2"/>
            <w:vMerge/>
            <w:shd w:val="clear" w:color="auto" w:fill="auto"/>
            <w:vAlign w:val="center"/>
          </w:tcPr>
          <w:p w14:paraId="3E54325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3F1C127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bottom w:val="nil"/>
            </w:tcBorders>
            <w:shd w:val="clear" w:color="auto" w:fill="auto"/>
          </w:tcPr>
          <w:p w14:paraId="32FD376C"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36.85-52.75</w:t>
            </w:r>
          </w:p>
        </w:tc>
        <w:tc>
          <w:tcPr>
            <w:tcW w:w="241" w:type="dxa"/>
            <w:tcBorders>
              <w:top w:val="nil"/>
              <w:bottom w:val="nil"/>
            </w:tcBorders>
            <w:shd w:val="clear" w:color="auto" w:fill="auto"/>
          </w:tcPr>
          <w:p w14:paraId="3743FC0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w:t>
            </w:r>
          </w:p>
        </w:tc>
        <w:tc>
          <w:tcPr>
            <w:tcW w:w="893" w:type="dxa"/>
            <w:tcBorders>
              <w:top w:val="nil"/>
              <w:bottom w:val="nil"/>
            </w:tcBorders>
            <w:shd w:val="clear" w:color="auto" w:fill="auto"/>
          </w:tcPr>
          <w:p w14:paraId="46298C6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15%</w:t>
            </w:r>
          </w:p>
        </w:tc>
        <w:tc>
          <w:tcPr>
            <w:tcW w:w="1559" w:type="dxa"/>
            <w:tcBorders>
              <w:top w:val="nil"/>
              <w:bottom w:val="nil"/>
            </w:tcBorders>
            <w:shd w:val="clear" w:color="auto" w:fill="auto"/>
          </w:tcPr>
          <w:p w14:paraId="42FC847E"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vAlign w:val="center"/>
          </w:tcPr>
          <w:p w14:paraId="6C73A24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2B2542B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4F7DB79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vAlign w:val="center"/>
          </w:tcPr>
          <w:p w14:paraId="24F98D93"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088865E0" w14:textId="77777777" w:rsidTr="000475D4">
        <w:trPr>
          <w:jc w:val="center"/>
        </w:trPr>
        <w:tc>
          <w:tcPr>
            <w:tcW w:w="932" w:type="dxa"/>
            <w:gridSpan w:val="2"/>
            <w:vMerge/>
            <w:shd w:val="clear" w:color="auto" w:fill="auto"/>
            <w:vAlign w:val="center"/>
          </w:tcPr>
          <w:p w14:paraId="1C08500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05F2231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bottom w:val="nil"/>
            </w:tcBorders>
            <w:shd w:val="clear" w:color="auto" w:fill="auto"/>
          </w:tcPr>
          <w:p w14:paraId="3538CBF9"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52.85-68.25</w:t>
            </w:r>
          </w:p>
        </w:tc>
        <w:tc>
          <w:tcPr>
            <w:tcW w:w="241" w:type="dxa"/>
            <w:tcBorders>
              <w:top w:val="nil"/>
              <w:bottom w:val="nil"/>
            </w:tcBorders>
            <w:shd w:val="clear" w:color="auto" w:fill="auto"/>
          </w:tcPr>
          <w:p w14:paraId="5EF5E626"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10</w:t>
            </w:r>
          </w:p>
        </w:tc>
        <w:tc>
          <w:tcPr>
            <w:tcW w:w="893" w:type="dxa"/>
            <w:tcBorders>
              <w:top w:val="nil"/>
              <w:bottom w:val="nil"/>
            </w:tcBorders>
            <w:shd w:val="clear" w:color="auto" w:fill="auto"/>
          </w:tcPr>
          <w:p w14:paraId="1A8B1FB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50%</w:t>
            </w:r>
          </w:p>
        </w:tc>
        <w:tc>
          <w:tcPr>
            <w:tcW w:w="1559" w:type="dxa"/>
            <w:tcBorders>
              <w:top w:val="nil"/>
              <w:bottom w:val="nil"/>
            </w:tcBorders>
            <w:shd w:val="clear" w:color="auto" w:fill="auto"/>
          </w:tcPr>
          <w:p w14:paraId="664C7623"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vAlign w:val="center"/>
          </w:tcPr>
          <w:p w14:paraId="1E5D019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7112043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5B39C64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vAlign w:val="center"/>
          </w:tcPr>
          <w:p w14:paraId="52790A2E"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691C0C75" w14:textId="77777777" w:rsidTr="000475D4">
        <w:trPr>
          <w:jc w:val="center"/>
        </w:trPr>
        <w:tc>
          <w:tcPr>
            <w:tcW w:w="932" w:type="dxa"/>
            <w:gridSpan w:val="2"/>
            <w:vMerge/>
            <w:shd w:val="clear" w:color="auto" w:fill="auto"/>
            <w:vAlign w:val="center"/>
          </w:tcPr>
          <w:p w14:paraId="73B8E9B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17EAD2D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tcBorders>
            <w:shd w:val="clear" w:color="auto" w:fill="auto"/>
          </w:tcPr>
          <w:p w14:paraId="26A684C1"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68.35-84.0</w:t>
            </w:r>
          </w:p>
        </w:tc>
        <w:tc>
          <w:tcPr>
            <w:tcW w:w="241" w:type="dxa"/>
            <w:tcBorders>
              <w:top w:val="nil"/>
            </w:tcBorders>
            <w:shd w:val="clear" w:color="auto" w:fill="auto"/>
          </w:tcPr>
          <w:p w14:paraId="5D3F9802"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7</w:t>
            </w:r>
          </w:p>
        </w:tc>
        <w:tc>
          <w:tcPr>
            <w:tcW w:w="893" w:type="dxa"/>
            <w:tcBorders>
              <w:top w:val="nil"/>
            </w:tcBorders>
            <w:shd w:val="clear" w:color="auto" w:fill="auto"/>
          </w:tcPr>
          <w:p w14:paraId="6BB771E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35%</w:t>
            </w:r>
          </w:p>
        </w:tc>
        <w:tc>
          <w:tcPr>
            <w:tcW w:w="1559" w:type="dxa"/>
            <w:tcBorders>
              <w:top w:val="nil"/>
            </w:tcBorders>
            <w:shd w:val="clear" w:color="auto" w:fill="auto"/>
          </w:tcPr>
          <w:p w14:paraId="779950FA"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bien</w:t>
            </w:r>
          </w:p>
        </w:tc>
        <w:tc>
          <w:tcPr>
            <w:tcW w:w="567" w:type="dxa"/>
            <w:vMerge/>
            <w:shd w:val="clear" w:color="auto" w:fill="auto"/>
            <w:vAlign w:val="center"/>
          </w:tcPr>
          <w:p w14:paraId="4FC4918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430F30D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38D0C72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vAlign w:val="center"/>
          </w:tcPr>
          <w:p w14:paraId="3C74D4FF"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3A08A112" w14:textId="77777777" w:rsidTr="000475D4">
        <w:trPr>
          <w:jc w:val="center"/>
        </w:trPr>
        <w:tc>
          <w:tcPr>
            <w:tcW w:w="932" w:type="dxa"/>
            <w:gridSpan w:val="2"/>
            <w:vMerge/>
            <w:shd w:val="clear" w:color="auto" w:fill="auto"/>
            <w:vAlign w:val="center"/>
          </w:tcPr>
          <w:p w14:paraId="7416CBD4"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val="restart"/>
            <w:shd w:val="clear" w:color="auto" w:fill="auto"/>
            <w:vAlign w:val="center"/>
          </w:tcPr>
          <w:p w14:paraId="2996705D"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viib</w:t>
            </w:r>
            <w:proofErr w:type="spellEnd"/>
          </w:p>
        </w:tc>
        <w:tc>
          <w:tcPr>
            <w:tcW w:w="1184" w:type="dxa"/>
            <w:tcBorders>
              <w:bottom w:val="nil"/>
            </w:tcBorders>
            <w:shd w:val="clear" w:color="auto" w:fill="auto"/>
          </w:tcPr>
          <w:p w14:paraId="0B616C71"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21.0-36.75</w:t>
            </w:r>
          </w:p>
        </w:tc>
        <w:tc>
          <w:tcPr>
            <w:tcW w:w="241" w:type="dxa"/>
            <w:tcBorders>
              <w:bottom w:val="nil"/>
            </w:tcBorders>
            <w:shd w:val="clear" w:color="auto" w:fill="auto"/>
          </w:tcPr>
          <w:p w14:paraId="3389D78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2</w:t>
            </w:r>
          </w:p>
        </w:tc>
        <w:tc>
          <w:tcPr>
            <w:tcW w:w="893" w:type="dxa"/>
            <w:tcBorders>
              <w:bottom w:val="nil"/>
            </w:tcBorders>
            <w:shd w:val="clear" w:color="auto" w:fill="auto"/>
          </w:tcPr>
          <w:p w14:paraId="4A1F5EB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0%</w:t>
            </w:r>
          </w:p>
        </w:tc>
        <w:tc>
          <w:tcPr>
            <w:tcW w:w="1559" w:type="dxa"/>
            <w:tcBorders>
              <w:bottom w:val="nil"/>
            </w:tcBorders>
            <w:shd w:val="clear" w:color="auto" w:fill="auto"/>
          </w:tcPr>
          <w:p w14:paraId="3082780A"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no bueno</w:t>
            </w:r>
          </w:p>
        </w:tc>
        <w:tc>
          <w:tcPr>
            <w:tcW w:w="567" w:type="dxa"/>
            <w:vMerge w:val="restart"/>
            <w:shd w:val="clear" w:color="auto" w:fill="auto"/>
          </w:tcPr>
          <w:p w14:paraId="1843E962" w14:textId="77777777" w:rsidR="00BB4FDA" w:rsidRPr="00591BD8" w:rsidRDefault="00BB4FDA" w:rsidP="00BB4FDA">
            <w:pPr>
              <w:tabs>
                <w:tab w:val="left" w:pos="2410"/>
              </w:tabs>
              <w:spacing w:after="0"/>
              <w:jc w:val="center"/>
              <w:rPr>
                <w:rFonts w:ascii="Times New Roman" w:hAnsi="Times New Roman"/>
                <w:sz w:val="20"/>
                <w:szCs w:val="20"/>
              </w:rPr>
            </w:pPr>
          </w:p>
          <w:p w14:paraId="005D0E9A" w14:textId="77777777" w:rsidR="00BB4FDA" w:rsidRPr="00591BD8" w:rsidRDefault="00BB4FDA" w:rsidP="00BB4FDA">
            <w:pPr>
              <w:tabs>
                <w:tab w:val="left" w:pos="2410"/>
              </w:tabs>
              <w:spacing w:after="0"/>
              <w:jc w:val="center"/>
              <w:rPr>
                <w:rFonts w:ascii="Times New Roman" w:hAnsi="Times New Roman"/>
                <w:sz w:val="20"/>
                <w:szCs w:val="20"/>
              </w:rPr>
            </w:pPr>
          </w:p>
          <w:p w14:paraId="0D05CDB1"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2.75</w:t>
            </w:r>
          </w:p>
        </w:tc>
        <w:tc>
          <w:tcPr>
            <w:tcW w:w="709" w:type="dxa"/>
            <w:vMerge w:val="restart"/>
            <w:shd w:val="clear" w:color="auto" w:fill="auto"/>
          </w:tcPr>
          <w:p w14:paraId="32B0A511" w14:textId="77777777" w:rsidR="00BB4FDA" w:rsidRPr="00591BD8" w:rsidRDefault="00BB4FDA" w:rsidP="00BB4FDA">
            <w:pPr>
              <w:tabs>
                <w:tab w:val="left" w:pos="2410"/>
              </w:tabs>
              <w:spacing w:after="0"/>
              <w:jc w:val="center"/>
              <w:rPr>
                <w:rFonts w:ascii="Times New Roman" w:hAnsi="Times New Roman"/>
                <w:sz w:val="20"/>
                <w:szCs w:val="20"/>
              </w:rPr>
            </w:pPr>
          </w:p>
          <w:p w14:paraId="3DB95402" w14:textId="77777777" w:rsidR="00BB4FDA" w:rsidRPr="00591BD8" w:rsidRDefault="00BB4FDA" w:rsidP="00BB4FDA">
            <w:pPr>
              <w:tabs>
                <w:tab w:val="left" w:pos="2410"/>
              </w:tabs>
              <w:spacing w:after="0"/>
              <w:jc w:val="center"/>
              <w:rPr>
                <w:rFonts w:ascii="Times New Roman" w:hAnsi="Times New Roman"/>
                <w:sz w:val="20"/>
                <w:szCs w:val="20"/>
              </w:rPr>
            </w:pPr>
          </w:p>
          <w:p w14:paraId="09D8AF5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3.00</w:t>
            </w:r>
          </w:p>
        </w:tc>
        <w:tc>
          <w:tcPr>
            <w:tcW w:w="567" w:type="dxa"/>
            <w:vMerge w:val="restart"/>
            <w:shd w:val="clear" w:color="auto" w:fill="auto"/>
          </w:tcPr>
          <w:p w14:paraId="58CAD62C" w14:textId="77777777" w:rsidR="00BB4FDA" w:rsidRPr="00591BD8" w:rsidRDefault="00BB4FDA" w:rsidP="00BB4FDA">
            <w:pPr>
              <w:tabs>
                <w:tab w:val="left" w:pos="2410"/>
              </w:tabs>
              <w:spacing w:after="0"/>
              <w:jc w:val="center"/>
              <w:rPr>
                <w:rFonts w:ascii="Times New Roman" w:hAnsi="Times New Roman"/>
                <w:sz w:val="20"/>
                <w:szCs w:val="20"/>
              </w:rPr>
            </w:pPr>
          </w:p>
          <w:p w14:paraId="788739B6" w14:textId="77777777" w:rsidR="00BB4FDA" w:rsidRPr="00591BD8" w:rsidRDefault="00BB4FDA" w:rsidP="00BB4FDA">
            <w:pPr>
              <w:tabs>
                <w:tab w:val="left" w:pos="2410"/>
              </w:tabs>
              <w:spacing w:after="0"/>
              <w:jc w:val="center"/>
              <w:rPr>
                <w:rFonts w:ascii="Times New Roman" w:hAnsi="Times New Roman"/>
                <w:sz w:val="20"/>
                <w:szCs w:val="20"/>
              </w:rPr>
            </w:pPr>
          </w:p>
          <w:p w14:paraId="76BDF240" w14:textId="77777777" w:rsidR="00BB4FDA" w:rsidRPr="00591BD8" w:rsidRDefault="00BB4FDA" w:rsidP="00BB4FDA">
            <w:pPr>
              <w:tabs>
                <w:tab w:val="left" w:pos="2410"/>
              </w:tabs>
              <w:spacing w:after="0"/>
              <w:jc w:val="center"/>
              <w:rPr>
                <w:rFonts w:ascii="Times New Roman" w:hAnsi="Times New Roman"/>
                <w:sz w:val="20"/>
                <w:szCs w:val="20"/>
              </w:rPr>
            </w:pPr>
            <w:r w:rsidRPr="00591BD8">
              <w:rPr>
                <w:rFonts w:ascii="Times New Roman" w:hAnsi="Times New Roman"/>
                <w:sz w:val="20"/>
                <w:szCs w:val="20"/>
              </w:rPr>
              <w:t>1.00</w:t>
            </w:r>
          </w:p>
          <w:p w14:paraId="70037A4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val="restart"/>
            <w:shd w:val="clear" w:color="auto" w:fill="auto"/>
          </w:tcPr>
          <w:p w14:paraId="50761D4D" w14:textId="77777777" w:rsidR="00BB4FDA" w:rsidRPr="00591BD8" w:rsidRDefault="00BB4FDA" w:rsidP="00BB4FDA">
            <w:pPr>
              <w:tabs>
                <w:tab w:val="left" w:pos="2410"/>
              </w:tabs>
              <w:spacing w:after="0"/>
              <w:jc w:val="center"/>
              <w:rPr>
                <w:rFonts w:ascii="Times New Roman" w:hAnsi="Times New Roman"/>
                <w:sz w:val="20"/>
                <w:szCs w:val="20"/>
              </w:rPr>
            </w:pPr>
          </w:p>
          <w:p w14:paraId="5E4EFF64" w14:textId="77777777" w:rsidR="00BB4FDA" w:rsidRPr="00591BD8" w:rsidRDefault="00BB4FDA" w:rsidP="00BB4FDA">
            <w:pPr>
              <w:tabs>
                <w:tab w:val="left" w:pos="2410"/>
              </w:tabs>
              <w:spacing w:after="0"/>
              <w:jc w:val="center"/>
              <w:rPr>
                <w:rFonts w:ascii="Times New Roman" w:hAnsi="Times New Roman"/>
                <w:sz w:val="20"/>
                <w:szCs w:val="20"/>
              </w:rPr>
            </w:pPr>
          </w:p>
          <w:p w14:paraId="17A8992A"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4.00</w:t>
            </w:r>
          </w:p>
        </w:tc>
      </w:tr>
      <w:tr w:rsidR="00BB4FDA" w:rsidRPr="00591BD8" w14:paraId="392A0BE3" w14:textId="77777777" w:rsidTr="000475D4">
        <w:trPr>
          <w:jc w:val="center"/>
        </w:trPr>
        <w:tc>
          <w:tcPr>
            <w:tcW w:w="932" w:type="dxa"/>
            <w:gridSpan w:val="2"/>
            <w:vMerge/>
            <w:shd w:val="clear" w:color="auto" w:fill="auto"/>
            <w:vAlign w:val="center"/>
          </w:tcPr>
          <w:p w14:paraId="78180DF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4DDBF805"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bottom w:val="nil"/>
            </w:tcBorders>
            <w:shd w:val="clear" w:color="auto" w:fill="auto"/>
          </w:tcPr>
          <w:p w14:paraId="0AC6C271"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36.85-52.75</w:t>
            </w:r>
          </w:p>
        </w:tc>
        <w:tc>
          <w:tcPr>
            <w:tcW w:w="241" w:type="dxa"/>
            <w:tcBorders>
              <w:top w:val="nil"/>
              <w:bottom w:val="nil"/>
            </w:tcBorders>
            <w:shd w:val="clear" w:color="auto" w:fill="auto"/>
          </w:tcPr>
          <w:p w14:paraId="061E2EB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w:t>
            </w:r>
          </w:p>
        </w:tc>
        <w:tc>
          <w:tcPr>
            <w:tcW w:w="893" w:type="dxa"/>
            <w:tcBorders>
              <w:top w:val="nil"/>
              <w:bottom w:val="nil"/>
            </w:tcBorders>
            <w:shd w:val="clear" w:color="auto" w:fill="auto"/>
          </w:tcPr>
          <w:p w14:paraId="4EF3B94A"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15%</w:t>
            </w:r>
          </w:p>
        </w:tc>
        <w:tc>
          <w:tcPr>
            <w:tcW w:w="1559" w:type="dxa"/>
            <w:tcBorders>
              <w:top w:val="nil"/>
              <w:bottom w:val="nil"/>
            </w:tcBorders>
            <w:shd w:val="clear" w:color="auto" w:fill="auto"/>
          </w:tcPr>
          <w:p w14:paraId="7718214C"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tcPr>
          <w:p w14:paraId="73C2638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037058A8"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0805E43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tcPr>
          <w:p w14:paraId="651030B9"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750F6385" w14:textId="77777777" w:rsidTr="000475D4">
        <w:trPr>
          <w:jc w:val="center"/>
        </w:trPr>
        <w:tc>
          <w:tcPr>
            <w:tcW w:w="932" w:type="dxa"/>
            <w:gridSpan w:val="2"/>
            <w:vMerge/>
            <w:shd w:val="clear" w:color="auto" w:fill="auto"/>
            <w:vAlign w:val="center"/>
          </w:tcPr>
          <w:p w14:paraId="1D16E5C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12799C6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bottom w:val="nil"/>
            </w:tcBorders>
            <w:shd w:val="clear" w:color="auto" w:fill="auto"/>
          </w:tcPr>
          <w:p w14:paraId="5E71A2C2"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52.85-68.25</w:t>
            </w:r>
          </w:p>
        </w:tc>
        <w:tc>
          <w:tcPr>
            <w:tcW w:w="241" w:type="dxa"/>
            <w:tcBorders>
              <w:top w:val="nil"/>
              <w:bottom w:val="nil"/>
            </w:tcBorders>
            <w:shd w:val="clear" w:color="auto" w:fill="auto"/>
          </w:tcPr>
          <w:p w14:paraId="487DE50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8</w:t>
            </w:r>
          </w:p>
        </w:tc>
        <w:tc>
          <w:tcPr>
            <w:tcW w:w="893" w:type="dxa"/>
            <w:tcBorders>
              <w:top w:val="nil"/>
              <w:bottom w:val="nil"/>
            </w:tcBorders>
            <w:shd w:val="clear" w:color="auto" w:fill="auto"/>
          </w:tcPr>
          <w:p w14:paraId="20C86E1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40%</w:t>
            </w:r>
          </w:p>
        </w:tc>
        <w:tc>
          <w:tcPr>
            <w:tcW w:w="1559" w:type="dxa"/>
            <w:tcBorders>
              <w:top w:val="nil"/>
              <w:bottom w:val="nil"/>
            </w:tcBorders>
            <w:shd w:val="clear" w:color="auto" w:fill="auto"/>
          </w:tcPr>
          <w:p w14:paraId="4433A6A5"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tcPr>
          <w:p w14:paraId="0C8CD65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1206BB1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274531A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tcPr>
          <w:p w14:paraId="248DF57C"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1AFD8B98" w14:textId="77777777" w:rsidTr="000475D4">
        <w:trPr>
          <w:jc w:val="center"/>
        </w:trPr>
        <w:tc>
          <w:tcPr>
            <w:tcW w:w="932" w:type="dxa"/>
            <w:gridSpan w:val="2"/>
            <w:vMerge/>
            <w:shd w:val="clear" w:color="auto" w:fill="auto"/>
            <w:vAlign w:val="center"/>
          </w:tcPr>
          <w:p w14:paraId="6A69DE7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7A88BD3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bottom w:val="single" w:sz="4" w:space="0" w:color="auto"/>
            </w:tcBorders>
            <w:shd w:val="clear" w:color="auto" w:fill="auto"/>
          </w:tcPr>
          <w:p w14:paraId="6ACFF172"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68.35-84.0</w:t>
            </w:r>
          </w:p>
        </w:tc>
        <w:tc>
          <w:tcPr>
            <w:tcW w:w="241" w:type="dxa"/>
            <w:tcBorders>
              <w:top w:val="nil"/>
              <w:bottom w:val="single" w:sz="4" w:space="0" w:color="auto"/>
            </w:tcBorders>
            <w:shd w:val="clear" w:color="auto" w:fill="auto"/>
          </w:tcPr>
          <w:p w14:paraId="466E960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7</w:t>
            </w:r>
          </w:p>
        </w:tc>
        <w:tc>
          <w:tcPr>
            <w:tcW w:w="893" w:type="dxa"/>
            <w:tcBorders>
              <w:top w:val="nil"/>
              <w:bottom w:val="single" w:sz="4" w:space="0" w:color="auto"/>
            </w:tcBorders>
            <w:shd w:val="clear" w:color="auto" w:fill="auto"/>
          </w:tcPr>
          <w:p w14:paraId="1B7E6EE0"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45%</w:t>
            </w:r>
          </w:p>
        </w:tc>
        <w:tc>
          <w:tcPr>
            <w:tcW w:w="1559" w:type="dxa"/>
            <w:tcBorders>
              <w:top w:val="nil"/>
              <w:bottom w:val="single" w:sz="4" w:space="0" w:color="auto"/>
            </w:tcBorders>
            <w:shd w:val="clear" w:color="auto" w:fill="auto"/>
          </w:tcPr>
          <w:p w14:paraId="5C70432B"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bien</w:t>
            </w:r>
          </w:p>
        </w:tc>
        <w:tc>
          <w:tcPr>
            <w:tcW w:w="567" w:type="dxa"/>
            <w:vMerge/>
            <w:shd w:val="clear" w:color="auto" w:fill="auto"/>
          </w:tcPr>
          <w:p w14:paraId="59CDA08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40939DE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7A1D785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tcPr>
          <w:p w14:paraId="579F72A2"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4D17DCFB" w14:textId="77777777" w:rsidTr="000475D4">
        <w:trPr>
          <w:jc w:val="center"/>
        </w:trPr>
        <w:tc>
          <w:tcPr>
            <w:tcW w:w="932" w:type="dxa"/>
            <w:gridSpan w:val="2"/>
            <w:vMerge w:val="restart"/>
            <w:shd w:val="clear" w:color="auto" w:fill="auto"/>
            <w:vAlign w:val="center"/>
          </w:tcPr>
          <w:p w14:paraId="0BE0F86D"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Elhafidziyah</w:t>
            </w:r>
            <w:proofErr w:type="spellEnd"/>
            <w:r w:rsidRPr="00591BD8">
              <w:rPr>
                <w:rFonts w:ascii="Times New Roman" w:hAnsi="Times New Roman"/>
                <w:bCs/>
                <w:sz w:val="20"/>
                <w:szCs w:val="20"/>
              </w:rPr>
              <w:t xml:space="preserve"> Middle School</w:t>
            </w:r>
          </w:p>
        </w:tc>
        <w:tc>
          <w:tcPr>
            <w:tcW w:w="506" w:type="dxa"/>
            <w:vMerge w:val="restart"/>
            <w:shd w:val="clear" w:color="auto" w:fill="auto"/>
            <w:vAlign w:val="center"/>
          </w:tcPr>
          <w:p w14:paraId="50A71589"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viia</w:t>
            </w:r>
            <w:proofErr w:type="spellEnd"/>
          </w:p>
        </w:tc>
        <w:tc>
          <w:tcPr>
            <w:tcW w:w="1184" w:type="dxa"/>
            <w:tcBorders>
              <w:bottom w:val="nil"/>
            </w:tcBorders>
            <w:shd w:val="clear" w:color="auto" w:fill="auto"/>
          </w:tcPr>
          <w:p w14:paraId="34F1FB7E"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21.0-36.75</w:t>
            </w:r>
          </w:p>
        </w:tc>
        <w:tc>
          <w:tcPr>
            <w:tcW w:w="241" w:type="dxa"/>
            <w:tcBorders>
              <w:bottom w:val="nil"/>
            </w:tcBorders>
            <w:shd w:val="clear" w:color="auto" w:fill="auto"/>
          </w:tcPr>
          <w:p w14:paraId="4249D8A1"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1</w:t>
            </w:r>
          </w:p>
        </w:tc>
        <w:tc>
          <w:tcPr>
            <w:tcW w:w="893" w:type="dxa"/>
            <w:tcBorders>
              <w:bottom w:val="nil"/>
            </w:tcBorders>
            <w:shd w:val="clear" w:color="auto" w:fill="auto"/>
          </w:tcPr>
          <w:p w14:paraId="260879BF"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5%</w:t>
            </w:r>
          </w:p>
        </w:tc>
        <w:tc>
          <w:tcPr>
            <w:tcW w:w="1559" w:type="dxa"/>
            <w:tcBorders>
              <w:bottom w:val="nil"/>
            </w:tcBorders>
            <w:shd w:val="clear" w:color="auto" w:fill="auto"/>
          </w:tcPr>
          <w:p w14:paraId="2E336563"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no bueno</w:t>
            </w:r>
          </w:p>
        </w:tc>
        <w:tc>
          <w:tcPr>
            <w:tcW w:w="567" w:type="dxa"/>
            <w:vMerge w:val="restart"/>
            <w:shd w:val="clear" w:color="auto" w:fill="auto"/>
          </w:tcPr>
          <w:p w14:paraId="04C54802" w14:textId="77777777" w:rsidR="00BB4FDA" w:rsidRPr="00591BD8" w:rsidRDefault="00BB4FDA" w:rsidP="00BB4FDA">
            <w:pPr>
              <w:tabs>
                <w:tab w:val="left" w:pos="2410"/>
              </w:tabs>
              <w:spacing w:after="0"/>
              <w:jc w:val="center"/>
              <w:rPr>
                <w:rFonts w:ascii="Times New Roman" w:hAnsi="Times New Roman"/>
                <w:sz w:val="20"/>
                <w:szCs w:val="20"/>
              </w:rPr>
            </w:pPr>
          </w:p>
          <w:p w14:paraId="1F681B51" w14:textId="77777777" w:rsidR="00BB4FDA" w:rsidRPr="00591BD8" w:rsidRDefault="00BB4FDA" w:rsidP="00BB4FDA">
            <w:pPr>
              <w:tabs>
                <w:tab w:val="left" w:pos="2410"/>
              </w:tabs>
              <w:spacing w:after="0"/>
              <w:jc w:val="center"/>
              <w:rPr>
                <w:rFonts w:ascii="Times New Roman" w:hAnsi="Times New Roman"/>
                <w:sz w:val="20"/>
                <w:szCs w:val="20"/>
              </w:rPr>
            </w:pPr>
          </w:p>
          <w:p w14:paraId="77ECBAC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3.15</w:t>
            </w:r>
          </w:p>
        </w:tc>
        <w:tc>
          <w:tcPr>
            <w:tcW w:w="709" w:type="dxa"/>
            <w:vMerge w:val="restart"/>
            <w:shd w:val="clear" w:color="auto" w:fill="auto"/>
          </w:tcPr>
          <w:p w14:paraId="4FC75C82" w14:textId="77777777" w:rsidR="00BB4FDA" w:rsidRPr="00591BD8" w:rsidRDefault="00BB4FDA" w:rsidP="00BB4FDA">
            <w:pPr>
              <w:tabs>
                <w:tab w:val="left" w:pos="2410"/>
              </w:tabs>
              <w:spacing w:after="0"/>
              <w:jc w:val="center"/>
              <w:rPr>
                <w:rFonts w:ascii="Times New Roman" w:hAnsi="Times New Roman"/>
                <w:sz w:val="20"/>
                <w:szCs w:val="20"/>
              </w:rPr>
            </w:pPr>
          </w:p>
          <w:p w14:paraId="2E34C1D1" w14:textId="77777777" w:rsidR="00BB4FDA" w:rsidRPr="00591BD8" w:rsidRDefault="00BB4FDA" w:rsidP="00BB4FDA">
            <w:pPr>
              <w:tabs>
                <w:tab w:val="left" w:pos="2410"/>
              </w:tabs>
              <w:spacing w:after="0"/>
              <w:jc w:val="center"/>
              <w:rPr>
                <w:rFonts w:ascii="Times New Roman" w:hAnsi="Times New Roman"/>
                <w:sz w:val="20"/>
                <w:szCs w:val="20"/>
              </w:rPr>
            </w:pPr>
          </w:p>
          <w:p w14:paraId="38FC398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3.00</w:t>
            </w:r>
          </w:p>
        </w:tc>
        <w:tc>
          <w:tcPr>
            <w:tcW w:w="567" w:type="dxa"/>
            <w:vMerge w:val="restart"/>
            <w:shd w:val="clear" w:color="auto" w:fill="auto"/>
          </w:tcPr>
          <w:p w14:paraId="3F38D321" w14:textId="77777777" w:rsidR="00BB4FDA" w:rsidRPr="00591BD8" w:rsidRDefault="00BB4FDA" w:rsidP="00BB4FDA">
            <w:pPr>
              <w:tabs>
                <w:tab w:val="left" w:pos="2410"/>
              </w:tabs>
              <w:spacing w:after="0"/>
              <w:jc w:val="center"/>
              <w:rPr>
                <w:rFonts w:ascii="Times New Roman" w:hAnsi="Times New Roman"/>
                <w:sz w:val="20"/>
                <w:szCs w:val="20"/>
              </w:rPr>
            </w:pPr>
          </w:p>
          <w:p w14:paraId="02086AF7" w14:textId="77777777" w:rsidR="00BB4FDA" w:rsidRPr="00591BD8" w:rsidRDefault="00BB4FDA" w:rsidP="00BB4FDA">
            <w:pPr>
              <w:tabs>
                <w:tab w:val="left" w:pos="2410"/>
              </w:tabs>
              <w:spacing w:after="0"/>
              <w:jc w:val="center"/>
              <w:rPr>
                <w:rFonts w:ascii="Times New Roman" w:hAnsi="Times New Roman"/>
                <w:sz w:val="20"/>
                <w:szCs w:val="20"/>
              </w:rPr>
            </w:pPr>
          </w:p>
          <w:p w14:paraId="17FC2E45" w14:textId="77777777" w:rsidR="00BB4FDA" w:rsidRPr="00591BD8" w:rsidRDefault="00BB4FDA" w:rsidP="00BB4FDA">
            <w:pPr>
              <w:tabs>
                <w:tab w:val="left" w:pos="2410"/>
              </w:tabs>
              <w:spacing w:after="0"/>
              <w:jc w:val="center"/>
              <w:rPr>
                <w:rFonts w:ascii="Times New Roman" w:hAnsi="Times New Roman"/>
                <w:sz w:val="20"/>
                <w:szCs w:val="20"/>
              </w:rPr>
            </w:pPr>
            <w:r w:rsidRPr="00591BD8">
              <w:rPr>
                <w:rFonts w:ascii="Times New Roman" w:hAnsi="Times New Roman"/>
                <w:sz w:val="20"/>
                <w:szCs w:val="20"/>
              </w:rPr>
              <w:t>1.00</w:t>
            </w:r>
          </w:p>
          <w:p w14:paraId="4087CACF"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val="restart"/>
            <w:shd w:val="clear" w:color="auto" w:fill="auto"/>
          </w:tcPr>
          <w:p w14:paraId="347C4B74" w14:textId="77777777" w:rsidR="00BB4FDA" w:rsidRPr="00591BD8" w:rsidRDefault="00BB4FDA" w:rsidP="00BB4FDA">
            <w:pPr>
              <w:tabs>
                <w:tab w:val="left" w:pos="2410"/>
              </w:tabs>
              <w:spacing w:after="0"/>
              <w:jc w:val="center"/>
              <w:rPr>
                <w:rFonts w:ascii="Times New Roman" w:hAnsi="Times New Roman"/>
                <w:sz w:val="20"/>
                <w:szCs w:val="20"/>
              </w:rPr>
            </w:pPr>
          </w:p>
          <w:p w14:paraId="1F677C55" w14:textId="77777777" w:rsidR="00BB4FDA" w:rsidRPr="00591BD8" w:rsidRDefault="00BB4FDA" w:rsidP="00BB4FDA">
            <w:pPr>
              <w:tabs>
                <w:tab w:val="left" w:pos="2410"/>
              </w:tabs>
              <w:spacing w:after="0"/>
              <w:jc w:val="center"/>
              <w:rPr>
                <w:rFonts w:ascii="Times New Roman" w:hAnsi="Times New Roman"/>
                <w:sz w:val="20"/>
                <w:szCs w:val="20"/>
              </w:rPr>
            </w:pPr>
          </w:p>
          <w:p w14:paraId="60197E87"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4.00</w:t>
            </w:r>
          </w:p>
        </w:tc>
      </w:tr>
      <w:tr w:rsidR="00BB4FDA" w:rsidRPr="00591BD8" w14:paraId="50DE00E6" w14:textId="77777777" w:rsidTr="000475D4">
        <w:trPr>
          <w:jc w:val="center"/>
        </w:trPr>
        <w:tc>
          <w:tcPr>
            <w:tcW w:w="932" w:type="dxa"/>
            <w:gridSpan w:val="2"/>
            <w:vMerge/>
            <w:shd w:val="clear" w:color="auto" w:fill="auto"/>
            <w:vAlign w:val="center"/>
          </w:tcPr>
          <w:p w14:paraId="27855E2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4279D74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bottom w:val="nil"/>
            </w:tcBorders>
            <w:shd w:val="clear" w:color="auto" w:fill="auto"/>
          </w:tcPr>
          <w:p w14:paraId="5743D7B1"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36.85-52.75</w:t>
            </w:r>
          </w:p>
        </w:tc>
        <w:tc>
          <w:tcPr>
            <w:tcW w:w="241" w:type="dxa"/>
            <w:tcBorders>
              <w:top w:val="nil"/>
              <w:bottom w:val="nil"/>
            </w:tcBorders>
            <w:shd w:val="clear" w:color="auto" w:fill="auto"/>
          </w:tcPr>
          <w:p w14:paraId="60B67D8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4</w:t>
            </w:r>
          </w:p>
        </w:tc>
        <w:tc>
          <w:tcPr>
            <w:tcW w:w="893" w:type="dxa"/>
            <w:tcBorders>
              <w:top w:val="nil"/>
              <w:bottom w:val="nil"/>
            </w:tcBorders>
            <w:shd w:val="clear" w:color="auto" w:fill="auto"/>
          </w:tcPr>
          <w:p w14:paraId="53FAE19C"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20%</w:t>
            </w:r>
          </w:p>
        </w:tc>
        <w:tc>
          <w:tcPr>
            <w:tcW w:w="1559" w:type="dxa"/>
            <w:tcBorders>
              <w:top w:val="nil"/>
              <w:bottom w:val="nil"/>
            </w:tcBorders>
            <w:shd w:val="clear" w:color="auto" w:fill="auto"/>
          </w:tcPr>
          <w:p w14:paraId="5AAE0CA4"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vAlign w:val="center"/>
          </w:tcPr>
          <w:p w14:paraId="6227C9C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2B753EE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4BFAC25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vAlign w:val="center"/>
          </w:tcPr>
          <w:p w14:paraId="6DFE53B4"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386F8006" w14:textId="77777777" w:rsidTr="000475D4">
        <w:trPr>
          <w:jc w:val="center"/>
        </w:trPr>
        <w:tc>
          <w:tcPr>
            <w:tcW w:w="932" w:type="dxa"/>
            <w:gridSpan w:val="2"/>
            <w:vMerge/>
            <w:shd w:val="clear" w:color="auto" w:fill="auto"/>
            <w:vAlign w:val="center"/>
          </w:tcPr>
          <w:p w14:paraId="6FD54F98"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655B647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bottom w:val="nil"/>
            </w:tcBorders>
            <w:shd w:val="clear" w:color="auto" w:fill="auto"/>
          </w:tcPr>
          <w:p w14:paraId="7E2A18F2"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52.85-68.25</w:t>
            </w:r>
          </w:p>
        </w:tc>
        <w:tc>
          <w:tcPr>
            <w:tcW w:w="241" w:type="dxa"/>
            <w:tcBorders>
              <w:top w:val="nil"/>
              <w:bottom w:val="nil"/>
            </w:tcBorders>
            <w:shd w:val="clear" w:color="auto" w:fill="auto"/>
          </w:tcPr>
          <w:p w14:paraId="300BF573"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8</w:t>
            </w:r>
          </w:p>
        </w:tc>
        <w:tc>
          <w:tcPr>
            <w:tcW w:w="893" w:type="dxa"/>
            <w:tcBorders>
              <w:top w:val="nil"/>
              <w:bottom w:val="nil"/>
            </w:tcBorders>
            <w:shd w:val="clear" w:color="auto" w:fill="auto"/>
          </w:tcPr>
          <w:p w14:paraId="55D4083B"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40%</w:t>
            </w:r>
          </w:p>
        </w:tc>
        <w:tc>
          <w:tcPr>
            <w:tcW w:w="1559" w:type="dxa"/>
            <w:tcBorders>
              <w:top w:val="nil"/>
              <w:bottom w:val="nil"/>
            </w:tcBorders>
            <w:shd w:val="clear" w:color="auto" w:fill="auto"/>
          </w:tcPr>
          <w:p w14:paraId="424C95E7"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vAlign w:val="center"/>
          </w:tcPr>
          <w:p w14:paraId="0F1F89E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47FAF5C1"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01B2D0D9"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vAlign w:val="center"/>
          </w:tcPr>
          <w:p w14:paraId="4402BF3E"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1BE7E6DE" w14:textId="77777777" w:rsidTr="000475D4">
        <w:trPr>
          <w:jc w:val="center"/>
        </w:trPr>
        <w:tc>
          <w:tcPr>
            <w:tcW w:w="932" w:type="dxa"/>
            <w:gridSpan w:val="2"/>
            <w:vMerge/>
            <w:shd w:val="clear" w:color="auto" w:fill="auto"/>
            <w:vAlign w:val="center"/>
          </w:tcPr>
          <w:p w14:paraId="288F302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18366CE8"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tcBorders>
            <w:shd w:val="clear" w:color="auto" w:fill="auto"/>
          </w:tcPr>
          <w:p w14:paraId="7AFCD0FA"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68.35-84.0</w:t>
            </w:r>
          </w:p>
        </w:tc>
        <w:tc>
          <w:tcPr>
            <w:tcW w:w="241" w:type="dxa"/>
            <w:tcBorders>
              <w:top w:val="nil"/>
            </w:tcBorders>
            <w:shd w:val="clear" w:color="auto" w:fill="auto"/>
          </w:tcPr>
          <w:p w14:paraId="4FE9F8B6"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7</w:t>
            </w:r>
          </w:p>
        </w:tc>
        <w:tc>
          <w:tcPr>
            <w:tcW w:w="893" w:type="dxa"/>
            <w:tcBorders>
              <w:top w:val="nil"/>
            </w:tcBorders>
            <w:shd w:val="clear" w:color="auto" w:fill="auto"/>
          </w:tcPr>
          <w:p w14:paraId="5DF73B8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35%</w:t>
            </w:r>
          </w:p>
        </w:tc>
        <w:tc>
          <w:tcPr>
            <w:tcW w:w="1559" w:type="dxa"/>
            <w:tcBorders>
              <w:top w:val="nil"/>
            </w:tcBorders>
            <w:shd w:val="clear" w:color="auto" w:fill="auto"/>
          </w:tcPr>
          <w:p w14:paraId="70B47D77"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bien</w:t>
            </w:r>
          </w:p>
        </w:tc>
        <w:tc>
          <w:tcPr>
            <w:tcW w:w="567" w:type="dxa"/>
            <w:vMerge/>
            <w:shd w:val="clear" w:color="auto" w:fill="auto"/>
            <w:vAlign w:val="center"/>
          </w:tcPr>
          <w:p w14:paraId="573E37F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vAlign w:val="center"/>
          </w:tcPr>
          <w:p w14:paraId="08F6C532"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vAlign w:val="center"/>
          </w:tcPr>
          <w:p w14:paraId="7DF7D24C"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vAlign w:val="center"/>
          </w:tcPr>
          <w:p w14:paraId="274BA439"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3D250540" w14:textId="77777777" w:rsidTr="000475D4">
        <w:trPr>
          <w:jc w:val="center"/>
        </w:trPr>
        <w:tc>
          <w:tcPr>
            <w:tcW w:w="932" w:type="dxa"/>
            <w:gridSpan w:val="2"/>
            <w:vMerge/>
            <w:shd w:val="clear" w:color="auto" w:fill="auto"/>
            <w:vAlign w:val="center"/>
          </w:tcPr>
          <w:p w14:paraId="2A90830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val="restart"/>
            <w:shd w:val="clear" w:color="auto" w:fill="auto"/>
            <w:vAlign w:val="center"/>
          </w:tcPr>
          <w:p w14:paraId="0500709A" w14:textId="77777777" w:rsidR="00BB4FDA" w:rsidRPr="00591BD8" w:rsidRDefault="00BB4FDA" w:rsidP="00BB4FDA">
            <w:pPr>
              <w:tabs>
                <w:tab w:val="left" w:pos="2410"/>
              </w:tabs>
              <w:spacing w:after="0"/>
              <w:jc w:val="center"/>
              <w:rPr>
                <w:rFonts w:ascii="Times New Roman" w:hAnsi="Times New Roman"/>
                <w:bCs/>
                <w:sz w:val="20"/>
                <w:szCs w:val="20"/>
              </w:rPr>
            </w:pPr>
            <w:proofErr w:type="spellStart"/>
            <w:r w:rsidRPr="00591BD8">
              <w:rPr>
                <w:rFonts w:ascii="Times New Roman" w:hAnsi="Times New Roman"/>
                <w:bCs/>
                <w:sz w:val="20"/>
                <w:szCs w:val="20"/>
              </w:rPr>
              <w:t>viib</w:t>
            </w:r>
            <w:proofErr w:type="spellEnd"/>
          </w:p>
        </w:tc>
        <w:tc>
          <w:tcPr>
            <w:tcW w:w="1184" w:type="dxa"/>
            <w:tcBorders>
              <w:bottom w:val="nil"/>
            </w:tcBorders>
            <w:shd w:val="clear" w:color="auto" w:fill="auto"/>
          </w:tcPr>
          <w:p w14:paraId="7CEC867A"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21.0-36.75</w:t>
            </w:r>
          </w:p>
        </w:tc>
        <w:tc>
          <w:tcPr>
            <w:tcW w:w="241" w:type="dxa"/>
            <w:tcBorders>
              <w:bottom w:val="nil"/>
            </w:tcBorders>
            <w:shd w:val="clear" w:color="auto" w:fill="auto"/>
          </w:tcPr>
          <w:p w14:paraId="18F001EA"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2</w:t>
            </w:r>
          </w:p>
        </w:tc>
        <w:tc>
          <w:tcPr>
            <w:tcW w:w="893" w:type="dxa"/>
            <w:tcBorders>
              <w:bottom w:val="nil"/>
            </w:tcBorders>
            <w:shd w:val="clear" w:color="auto" w:fill="auto"/>
          </w:tcPr>
          <w:p w14:paraId="4A8630C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10%</w:t>
            </w:r>
          </w:p>
        </w:tc>
        <w:tc>
          <w:tcPr>
            <w:tcW w:w="1559" w:type="dxa"/>
            <w:tcBorders>
              <w:bottom w:val="nil"/>
            </w:tcBorders>
            <w:shd w:val="clear" w:color="auto" w:fill="auto"/>
          </w:tcPr>
          <w:p w14:paraId="1909C957"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no bueno</w:t>
            </w:r>
          </w:p>
        </w:tc>
        <w:tc>
          <w:tcPr>
            <w:tcW w:w="567" w:type="dxa"/>
            <w:vMerge w:val="restart"/>
            <w:shd w:val="clear" w:color="auto" w:fill="auto"/>
          </w:tcPr>
          <w:p w14:paraId="277DC4EE" w14:textId="77777777" w:rsidR="00BB4FDA" w:rsidRPr="00591BD8" w:rsidRDefault="00BB4FDA" w:rsidP="00BB4FDA">
            <w:pPr>
              <w:tabs>
                <w:tab w:val="left" w:pos="2410"/>
              </w:tabs>
              <w:spacing w:after="0"/>
              <w:jc w:val="center"/>
              <w:rPr>
                <w:rFonts w:ascii="Times New Roman" w:hAnsi="Times New Roman"/>
                <w:sz w:val="20"/>
                <w:szCs w:val="20"/>
              </w:rPr>
            </w:pPr>
          </w:p>
          <w:p w14:paraId="1EF8AC64" w14:textId="77777777" w:rsidR="00BB4FDA" w:rsidRPr="00591BD8" w:rsidRDefault="00BB4FDA" w:rsidP="00BB4FDA">
            <w:pPr>
              <w:tabs>
                <w:tab w:val="left" w:pos="2410"/>
              </w:tabs>
              <w:spacing w:after="0"/>
              <w:jc w:val="center"/>
              <w:rPr>
                <w:rFonts w:ascii="Times New Roman" w:hAnsi="Times New Roman"/>
                <w:sz w:val="20"/>
                <w:szCs w:val="20"/>
              </w:rPr>
            </w:pPr>
          </w:p>
          <w:p w14:paraId="44FA2835"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3.25</w:t>
            </w:r>
          </w:p>
        </w:tc>
        <w:tc>
          <w:tcPr>
            <w:tcW w:w="709" w:type="dxa"/>
            <w:vMerge w:val="restart"/>
            <w:shd w:val="clear" w:color="auto" w:fill="auto"/>
          </w:tcPr>
          <w:p w14:paraId="4BE555B7" w14:textId="77777777" w:rsidR="00BB4FDA" w:rsidRPr="00591BD8" w:rsidRDefault="00BB4FDA" w:rsidP="00BB4FDA">
            <w:pPr>
              <w:tabs>
                <w:tab w:val="left" w:pos="2410"/>
              </w:tabs>
              <w:spacing w:after="0"/>
              <w:jc w:val="center"/>
              <w:rPr>
                <w:rFonts w:ascii="Times New Roman" w:hAnsi="Times New Roman"/>
                <w:sz w:val="20"/>
                <w:szCs w:val="20"/>
              </w:rPr>
            </w:pPr>
          </w:p>
          <w:p w14:paraId="38162CDD" w14:textId="77777777" w:rsidR="00BB4FDA" w:rsidRPr="00591BD8" w:rsidRDefault="00BB4FDA" w:rsidP="00BB4FDA">
            <w:pPr>
              <w:tabs>
                <w:tab w:val="left" w:pos="2410"/>
              </w:tabs>
              <w:spacing w:after="0"/>
              <w:jc w:val="center"/>
              <w:rPr>
                <w:rFonts w:ascii="Times New Roman" w:hAnsi="Times New Roman"/>
                <w:sz w:val="20"/>
                <w:szCs w:val="20"/>
              </w:rPr>
            </w:pPr>
          </w:p>
          <w:p w14:paraId="45C3FCE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3.00</w:t>
            </w:r>
          </w:p>
        </w:tc>
        <w:tc>
          <w:tcPr>
            <w:tcW w:w="567" w:type="dxa"/>
            <w:vMerge w:val="restart"/>
            <w:shd w:val="clear" w:color="auto" w:fill="auto"/>
          </w:tcPr>
          <w:p w14:paraId="0AC9922B" w14:textId="77777777" w:rsidR="00BB4FDA" w:rsidRPr="00591BD8" w:rsidRDefault="00BB4FDA" w:rsidP="00BB4FDA">
            <w:pPr>
              <w:tabs>
                <w:tab w:val="left" w:pos="2410"/>
              </w:tabs>
              <w:spacing w:after="0"/>
              <w:jc w:val="center"/>
              <w:rPr>
                <w:rFonts w:ascii="Times New Roman" w:hAnsi="Times New Roman"/>
                <w:sz w:val="20"/>
                <w:szCs w:val="20"/>
              </w:rPr>
            </w:pPr>
          </w:p>
          <w:p w14:paraId="71F93F34" w14:textId="77777777" w:rsidR="00BB4FDA" w:rsidRPr="00591BD8" w:rsidRDefault="00BB4FDA" w:rsidP="00BB4FDA">
            <w:pPr>
              <w:tabs>
                <w:tab w:val="left" w:pos="2410"/>
              </w:tabs>
              <w:spacing w:after="0"/>
              <w:jc w:val="center"/>
              <w:rPr>
                <w:rFonts w:ascii="Times New Roman" w:hAnsi="Times New Roman"/>
                <w:sz w:val="20"/>
                <w:szCs w:val="20"/>
              </w:rPr>
            </w:pPr>
          </w:p>
          <w:p w14:paraId="01FAA7F4" w14:textId="77777777" w:rsidR="00BB4FDA" w:rsidRPr="00591BD8" w:rsidRDefault="00BB4FDA" w:rsidP="00BB4FDA">
            <w:pPr>
              <w:tabs>
                <w:tab w:val="left" w:pos="2410"/>
              </w:tabs>
              <w:spacing w:after="0"/>
              <w:jc w:val="center"/>
              <w:rPr>
                <w:rFonts w:ascii="Times New Roman" w:hAnsi="Times New Roman"/>
                <w:sz w:val="20"/>
                <w:szCs w:val="20"/>
              </w:rPr>
            </w:pPr>
            <w:r w:rsidRPr="00591BD8">
              <w:rPr>
                <w:rFonts w:ascii="Times New Roman" w:hAnsi="Times New Roman"/>
                <w:sz w:val="20"/>
                <w:szCs w:val="20"/>
              </w:rPr>
              <w:t>1.00</w:t>
            </w:r>
          </w:p>
          <w:p w14:paraId="0809EB13"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val="restart"/>
            <w:shd w:val="clear" w:color="auto" w:fill="auto"/>
          </w:tcPr>
          <w:p w14:paraId="7F8BEA8D" w14:textId="77777777" w:rsidR="00BB4FDA" w:rsidRPr="00591BD8" w:rsidRDefault="00BB4FDA" w:rsidP="00BB4FDA">
            <w:pPr>
              <w:tabs>
                <w:tab w:val="left" w:pos="2410"/>
              </w:tabs>
              <w:spacing w:after="0"/>
              <w:jc w:val="center"/>
              <w:rPr>
                <w:rFonts w:ascii="Times New Roman" w:hAnsi="Times New Roman"/>
                <w:sz w:val="20"/>
                <w:szCs w:val="20"/>
              </w:rPr>
            </w:pPr>
          </w:p>
          <w:p w14:paraId="35B23254" w14:textId="77777777" w:rsidR="00BB4FDA" w:rsidRPr="00591BD8" w:rsidRDefault="00BB4FDA" w:rsidP="00BB4FDA">
            <w:pPr>
              <w:tabs>
                <w:tab w:val="left" w:pos="2410"/>
              </w:tabs>
              <w:spacing w:after="0"/>
              <w:jc w:val="center"/>
              <w:rPr>
                <w:rFonts w:ascii="Times New Roman" w:hAnsi="Times New Roman"/>
                <w:sz w:val="20"/>
                <w:szCs w:val="20"/>
              </w:rPr>
            </w:pPr>
          </w:p>
          <w:p w14:paraId="104188AD"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4.00</w:t>
            </w:r>
          </w:p>
        </w:tc>
      </w:tr>
      <w:tr w:rsidR="00BB4FDA" w:rsidRPr="00591BD8" w14:paraId="44740A8B" w14:textId="77777777" w:rsidTr="000475D4">
        <w:trPr>
          <w:jc w:val="center"/>
        </w:trPr>
        <w:tc>
          <w:tcPr>
            <w:tcW w:w="932" w:type="dxa"/>
            <w:gridSpan w:val="2"/>
            <w:vMerge/>
            <w:shd w:val="clear" w:color="auto" w:fill="auto"/>
            <w:vAlign w:val="center"/>
          </w:tcPr>
          <w:p w14:paraId="50474F20"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5AB36786"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bottom w:val="nil"/>
            </w:tcBorders>
            <w:shd w:val="clear" w:color="auto" w:fill="auto"/>
          </w:tcPr>
          <w:p w14:paraId="2F9764E9"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36.85-52.75</w:t>
            </w:r>
          </w:p>
        </w:tc>
        <w:tc>
          <w:tcPr>
            <w:tcW w:w="241" w:type="dxa"/>
            <w:tcBorders>
              <w:top w:val="nil"/>
              <w:bottom w:val="nil"/>
            </w:tcBorders>
            <w:shd w:val="clear" w:color="auto" w:fill="auto"/>
          </w:tcPr>
          <w:p w14:paraId="5E070154"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4</w:t>
            </w:r>
          </w:p>
        </w:tc>
        <w:tc>
          <w:tcPr>
            <w:tcW w:w="893" w:type="dxa"/>
            <w:tcBorders>
              <w:top w:val="nil"/>
              <w:bottom w:val="nil"/>
            </w:tcBorders>
            <w:shd w:val="clear" w:color="auto" w:fill="auto"/>
          </w:tcPr>
          <w:p w14:paraId="4DCAE6AE"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20%</w:t>
            </w:r>
          </w:p>
        </w:tc>
        <w:tc>
          <w:tcPr>
            <w:tcW w:w="1559" w:type="dxa"/>
            <w:tcBorders>
              <w:top w:val="nil"/>
              <w:bottom w:val="nil"/>
            </w:tcBorders>
            <w:shd w:val="clear" w:color="auto" w:fill="auto"/>
          </w:tcPr>
          <w:p w14:paraId="7C008204"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No es bueno</w:t>
            </w:r>
          </w:p>
        </w:tc>
        <w:tc>
          <w:tcPr>
            <w:tcW w:w="567" w:type="dxa"/>
            <w:vMerge/>
            <w:shd w:val="clear" w:color="auto" w:fill="auto"/>
          </w:tcPr>
          <w:p w14:paraId="3A88C75E"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2C553AFD"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5CC4CD95"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tcPr>
          <w:p w14:paraId="050FA686"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234B7FA5" w14:textId="77777777" w:rsidTr="000475D4">
        <w:trPr>
          <w:jc w:val="center"/>
        </w:trPr>
        <w:tc>
          <w:tcPr>
            <w:tcW w:w="932" w:type="dxa"/>
            <w:gridSpan w:val="2"/>
            <w:vMerge/>
            <w:shd w:val="clear" w:color="auto" w:fill="auto"/>
            <w:vAlign w:val="center"/>
          </w:tcPr>
          <w:p w14:paraId="32C54240"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548B5D3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bottom w:val="nil"/>
            </w:tcBorders>
            <w:shd w:val="clear" w:color="auto" w:fill="auto"/>
          </w:tcPr>
          <w:p w14:paraId="01845AF5"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52.85-68.25</w:t>
            </w:r>
          </w:p>
        </w:tc>
        <w:tc>
          <w:tcPr>
            <w:tcW w:w="241" w:type="dxa"/>
            <w:tcBorders>
              <w:top w:val="nil"/>
              <w:bottom w:val="nil"/>
            </w:tcBorders>
            <w:shd w:val="clear" w:color="auto" w:fill="auto"/>
          </w:tcPr>
          <w:p w14:paraId="4DA21729"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8</w:t>
            </w:r>
          </w:p>
        </w:tc>
        <w:tc>
          <w:tcPr>
            <w:tcW w:w="893" w:type="dxa"/>
            <w:tcBorders>
              <w:top w:val="nil"/>
              <w:bottom w:val="nil"/>
            </w:tcBorders>
            <w:shd w:val="clear" w:color="auto" w:fill="auto"/>
          </w:tcPr>
          <w:p w14:paraId="5E5F558A"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45%</w:t>
            </w:r>
          </w:p>
        </w:tc>
        <w:tc>
          <w:tcPr>
            <w:tcW w:w="1559" w:type="dxa"/>
            <w:tcBorders>
              <w:top w:val="nil"/>
              <w:bottom w:val="nil"/>
            </w:tcBorders>
            <w:shd w:val="clear" w:color="auto" w:fill="auto"/>
          </w:tcPr>
          <w:p w14:paraId="0A6165AE" w14:textId="77777777" w:rsidR="00BB4FDA" w:rsidRPr="00591BD8" w:rsidRDefault="00BB4FDA" w:rsidP="00BB4FDA">
            <w:pPr>
              <w:tabs>
                <w:tab w:val="left" w:pos="2410"/>
              </w:tabs>
              <w:spacing w:after="0"/>
              <w:jc w:val="center"/>
              <w:rPr>
                <w:rFonts w:ascii="Times New Roman" w:hAnsi="Times New Roman"/>
                <w:bCs/>
                <w:sz w:val="20"/>
                <w:szCs w:val="20"/>
                <w:lang w:val="en-GB"/>
              </w:rPr>
            </w:pPr>
            <w:r w:rsidRPr="00591BD8">
              <w:rPr>
                <w:rFonts w:ascii="Times New Roman" w:hAnsi="Times New Roman"/>
                <w:bCs/>
                <w:sz w:val="20"/>
                <w:szCs w:val="20"/>
              </w:rPr>
              <w:t>Bien</w:t>
            </w:r>
          </w:p>
        </w:tc>
        <w:tc>
          <w:tcPr>
            <w:tcW w:w="567" w:type="dxa"/>
            <w:vMerge/>
            <w:shd w:val="clear" w:color="auto" w:fill="auto"/>
          </w:tcPr>
          <w:p w14:paraId="55866FD1"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217C9A31"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4434078B"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tcPr>
          <w:p w14:paraId="1B122CC0" w14:textId="77777777" w:rsidR="00BB4FDA" w:rsidRPr="00591BD8" w:rsidRDefault="00BB4FDA" w:rsidP="00BB4FDA">
            <w:pPr>
              <w:tabs>
                <w:tab w:val="left" w:pos="2410"/>
              </w:tabs>
              <w:spacing w:after="0"/>
              <w:jc w:val="center"/>
              <w:rPr>
                <w:rFonts w:ascii="Times New Roman" w:hAnsi="Times New Roman"/>
                <w:bCs/>
                <w:sz w:val="20"/>
                <w:szCs w:val="20"/>
              </w:rPr>
            </w:pPr>
          </w:p>
        </w:tc>
      </w:tr>
      <w:tr w:rsidR="00BB4FDA" w:rsidRPr="00591BD8" w14:paraId="066459D6" w14:textId="77777777" w:rsidTr="000475D4">
        <w:trPr>
          <w:jc w:val="center"/>
        </w:trPr>
        <w:tc>
          <w:tcPr>
            <w:tcW w:w="932" w:type="dxa"/>
            <w:gridSpan w:val="2"/>
            <w:vMerge/>
            <w:shd w:val="clear" w:color="auto" w:fill="auto"/>
            <w:vAlign w:val="center"/>
          </w:tcPr>
          <w:p w14:paraId="226C91C5"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06" w:type="dxa"/>
            <w:vMerge/>
            <w:shd w:val="clear" w:color="auto" w:fill="auto"/>
            <w:vAlign w:val="center"/>
          </w:tcPr>
          <w:p w14:paraId="3A20E837"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1184" w:type="dxa"/>
            <w:tcBorders>
              <w:top w:val="nil"/>
              <w:bottom w:val="single" w:sz="4" w:space="0" w:color="auto"/>
            </w:tcBorders>
            <w:shd w:val="clear" w:color="auto" w:fill="auto"/>
          </w:tcPr>
          <w:p w14:paraId="1B7961EC" w14:textId="77777777" w:rsidR="00BB4FDA" w:rsidRPr="00591BD8" w:rsidRDefault="00BB4FDA" w:rsidP="00BB4FDA">
            <w:pPr>
              <w:spacing w:after="0"/>
              <w:jc w:val="both"/>
              <w:rPr>
                <w:rFonts w:ascii="Times New Roman" w:hAnsi="Times New Roman"/>
                <w:bCs/>
                <w:sz w:val="20"/>
                <w:szCs w:val="20"/>
              </w:rPr>
            </w:pPr>
            <w:r w:rsidRPr="00591BD8">
              <w:rPr>
                <w:rFonts w:ascii="Times New Roman" w:hAnsi="Times New Roman"/>
                <w:sz w:val="20"/>
                <w:szCs w:val="20"/>
              </w:rPr>
              <w:t>68.35-84.0</w:t>
            </w:r>
          </w:p>
        </w:tc>
        <w:tc>
          <w:tcPr>
            <w:tcW w:w="241" w:type="dxa"/>
            <w:tcBorders>
              <w:top w:val="nil"/>
              <w:bottom w:val="single" w:sz="4" w:space="0" w:color="auto"/>
            </w:tcBorders>
            <w:shd w:val="clear" w:color="auto" w:fill="auto"/>
          </w:tcPr>
          <w:p w14:paraId="1AAE4958"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6</w:t>
            </w:r>
          </w:p>
        </w:tc>
        <w:tc>
          <w:tcPr>
            <w:tcW w:w="893" w:type="dxa"/>
            <w:tcBorders>
              <w:top w:val="nil"/>
              <w:bottom w:val="single" w:sz="4" w:space="0" w:color="auto"/>
            </w:tcBorders>
            <w:shd w:val="clear" w:color="auto" w:fill="auto"/>
          </w:tcPr>
          <w:p w14:paraId="2B4067B2" w14:textId="77777777" w:rsidR="00BB4FDA" w:rsidRPr="00591BD8" w:rsidRDefault="00BB4FDA" w:rsidP="00BB4FDA">
            <w:pPr>
              <w:tabs>
                <w:tab w:val="left" w:pos="2410"/>
              </w:tabs>
              <w:spacing w:after="0"/>
              <w:jc w:val="center"/>
              <w:rPr>
                <w:rFonts w:ascii="Times New Roman" w:hAnsi="Times New Roman"/>
                <w:bCs/>
                <w:sz w:val="20"/>
                <w:szCs w:val="20"/>
              </w:rPr>
            </w:pPr>
            <w:r w:rsidRPr="00591BD8">
              <w:rPr>
                <w:rFonts w:ascii="Times New Roman" w:hAnsi="Times New Roman"/>
                <w:sz w:val="20"/>
                <w:szCs w:val="20"/>
              </w:rPr>
              <w:t>30%</w:t>
            </w:r>
          </w:p>
        </w:tc>
        <w:tc>
          <w:tcPr>
            <w:tcW w:w="1559" w:type="dxa"/>
            <w:tcBorders>
              <w:top w:val="nil"/>
              <w:bottom w:val="single" w:sz="4" w:space="0" w:color="auto"/>
            </w:tcBorders>
            <w:shd w:val="clear" w:color="auto" w:fill="auto"/>
          </w:tcPr>
          <w:p w14:paraId="60D6F061" w14:textId="77777777" w:rsidR="00BB4FDA" w:rsidRPr="00591BD8" w:rsidRDefault="00BB4FDA" w:rsidP="00BB4FDA">
            <w:pPr>
              <w:tabs>
                <w:tab w:val="left" w:pos="2410"/>
              </w:tabs>
              <w:spacing w:after="0"/>
              <w:jc w:val="center"/>
              <w:rPr>
                <w:rFonts w:ascii="Times New Roman" w:hAnsi="Times New Roman"/>
                <w:bCs/>
                <w:sz w:val="20"/>
                <w:szCs w:val="20"/>
                <w:lang w:val="en-GB"/>
              </w:rPr>
            </w:pPr>
            <w:proofErr w:type="spellStart"/>
            <w:r w:rsidRPr="00591BD8">
              <w:rPr>
                <w:rFonts w:ascii="Times New Roman" w:hAnsi="Times New Roman"/>
                <w:bCs/>
                <w:sz w:val="20"/>
                <w:szCs w:val="20"/>
              </w:rPr>
              <w:t>muy</w:t>
            </w:r>
            <w:proofErr w:type="spellEnd"/>
            <w:r w:rsidRPr="00591BD8">
              <w:rPr>
                <w:rFonts w:ascii="Times New Roman" w:hAnsi="Times New Roman"/>
                <w:bCs/>
                <w:sz w:val="20"/>
                <w:szCs w:val="20"/>
              </w:rPr>
              <w:t xml:space="preserve"> bien</w:t>
            </w:r>
          </w:p>
        </w:tc>
        <w:tc>
          <w:tcPr>
            <w:tcW w:w="567" w:type="dxa"/>
            <w:vMerge/>
            <w:shd w:val="clear" w:color="auto" w:fill="auto"/>
          </w:tcPr>
          <w:p w14:paraId="30D0957A"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709" w:type="dxa"/>
            <w:vMerge/>
            <w:shd w:val="clear" w:color="auto" w:fill="auto"/>
          </w:tcPr>
          <w:p w14:paraId="4D0333CC"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567" w:type="dxa"/>
            <w:vMerge/>
            <w:shd w:val="clear" w:color="auto" w:fill="auto"/>
          </w:tcPr>
          <w:p w14:paraId="0EE70815" w14:textId="77777777" w:rsidR="00BB4FDA" w:rsidRPr="00591BD8" w:rsidRDefault="00BB4FDA" w:rsidP="00BB4FDA">
            <w:pPr>
              <w:tabs>
                <w:tab w:val="left" w:pos="2410"/>
              </w:tabs>
              <w:spacing w:after="0"/>
              <w:jc w:val="center"/>
              <w:rPr>
                <w:rFonts w:ascii="Times New Roman" w:hAnsi="Times New Roman"/>
                <w:bCs/>
                <w:sz w:val="20"/>
                <w:szCs w:val="20"/>
              </w:rPr>
            </w:pPr>
          </w:p>
        </w:tc>
        <w:tc>
          <w:tcPr>
            <w:tcW w:w="659" w:type="dxa"/>
            <w:vMerge/>
            <w:shd w:val="clear" w:color="auto" w:fill="auto"/>
          </w:tcPr>
          <w:p w14:paraId="502DC17B" w14:textId="77777777" w:rsidR="00BB4FDA" w:rsidRPr="00591BD8" w:rsidRDefault="00BB4FDA" w:rsidP="00BB4FDA">
            <w:pPr>
              <w:tabs>
                <w:tab w:val="left" w:pos="2410"/>
              </w:tabs>
              <w:spacing w:after="0"/>
              <w:jc w:val="center"/>
              <w:rPr>
                <w:rFonts w:ascii="Times New Roman" w:hAnsi="Times New Roman"/>
                <w:bCs/>
                <w:sz w:val="20"/>
                <w:szCs w:val="20"/>
              </w:rPr>
            </w:pPr>
          </w:p>
        </w:tc>
      </w:tr>
    </w:tbl>
    <w:p w14:paraId="7E470A66" w14:textId="77777777" w:rsidR="00BB4FDA" w:rsidRPr="00591BD8" w:rsidRDefault="00BB4FDA" w:rsidP="00BB4FDA">
      <w:pPr>
        <w:pStyle w:val="E-JournalBody"/>
        <w:rPr>
          <w:sz w:val="20"/>
          <w:szCs w:val="20"/>
        </w:rPr>
      </w:pPr>
    </w:p>
    <w:p w14:paraId="73646EBE" w14:textId="77777777" w:rsidR="00BB4FDA" w:rsidRPr="00591BD8" w:rsidRDefault="00BB4FDA" w:rsidP="00BB4FDA">
      <w:pPr>
        <w:pStyle w:val="E-JournalBody"/>
      </w:pPr>
      <w:r w:rsidRPr="00591BD8">
        <w:t>Según los resultados de la tabla anterior, se puede decir que SMPN 7 Muaro Jambi y SMPS Elhafidziyah clases VII A, VII B son superiores en la categoría buena. En la siguiente tabla se presenta una descripción de la prueba de normalidad.</w:t>
      </w:r>
    </w:p>
    <w:p w14:paraId="39A44961" w14:textId="6EF9707F" w:rsidR="00BB4FDA" w:rsidRPr="00591BD8" w:rsidRDefault="00BB4FDA" w:rsidP="00BB4FDA">
      <w:pPr>
        <w:pStyle w:val="E-JournalBody"/>
        <w:rPr>
          <w:sz w:val="20"/>
          <w:szCs w:val="20"/>
        </w:rPr>
      </w:pPr>
      <w:r w:rsidRPr="00591BD8">
        <w:rPr>
          <w:sz w:val="20"/>
          <w:szCs w:val="20"/>
        </w:rPr>
        <w:t>Table 8. Prueba de normalidad de la psicología cognitiva, las habilidades del proceso matemático y las respuestas de los estudiantes al aprendizagem de las matemáticas</w:t>
      </w:r>
    </w:p>
    <w:p w14:paraId="33444688" w14:textId="1463F143" w:rsidR="00BB4FDA" w:rsidRPr="00591BD8" w:rsidRDefault="00BB4FDA" w:rsidP="00BB4FDA">
      <w:pPr>
        <w:pStyle w:val="E-JournalBody"/>
        <w:rPr>
          <w:sz w:val="20"/>
          <w:szCs w:val="20"/>
        </w:rPr>
      </w:pPr>
      <w:r w:rsidRPr="00591BD8">
        <w:rPr>
          <w:noProof/>
        </w:rPr>
        <w:drawing>
          <wp:inline distT="0" distB="0" distL="0" distR="0" wp14:anchorId="592B669D" wp14:editId="63918354">
            <wp:extent cx="4862048" cy="1476375"/>
            <wp:effectExtent l="0" t="0" r="0" b="0"/>
            <wp:docPr id="1311795945"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21733" b="9806"/>
                    <a:stretch/>
                  </pic:blipFill>
                  <pic:spPr bwMode="auto">
                    <a:xfrm>
                      <a:off x="0" y="0"/>
                      <a:ext cx="4884368" cy="1483153"/>
                    </a:xfrm>
                    <a:prstGeom prst="rect">
                      <a:avLst/>
                    </a:prstGeom>
                    <a:noFill/>
                    <a:ln>
                      <a:noFill/>
                    </a:ln>
                    <a:extLst>
                      <a:ext uri="{53640926-AAD7-44D8-BBD7-CCE9431645EC}">
                        <a14:shadowObscured xmlns:a14="http://schemas.microsoft.com/office/drawing/2010/main"/>
                      </a:ext>
                    </a:extLst>
                  </pic:spPr>
                </pic:pic>
              </a:graphicData>
            </a:graphic>
          </wp:inline>
        </w:drawing>
      </w:r>
    </w:p>
    <w:p w14:paraId="19069FC1" w14:textId="77777777" w:rsidR="00BB4FDA" w:rsidRPr="00591BD8" w:rsidRDefault="00BB4FDA" w:rsidP="00BB4FDA">
      <w:pPr>
        <w:pStyle w:val="E-JournalBody"/>
      </w:pPr>
      <w:r w:rsidRPr="00591BD8">
        <w:t>Con base en los resultados de la tabla se puede conclude que los datos se distribuyen normalmente, la prueba de normalidad se obtiene con la prueba de Kolmogorov-Smirnov, el valor de significancia es &gt; 0,05. The following table presents a study of the cognitive psychological line of students, their mathematical processing skills and their answers to mathematical learning.</w:t>
      </w:r>
    </w:p>
    <w:p w14:paraId="0FBDBBA2" w14:textId="2E2B6D74" w:rsidR="00BB4FDA" w:rsidRPr="00591BD8" w:rsidRDefault="00BB4FDA" w:rsidP="00BB4FDA">
      <w:pPr>
        <w:pStyle w:val="E-JournalBody"/>
        <w:rPr>
          <w:sz w:val="20"/>
          <w:szCs w:val="20"/>
        </w:rPr>
      </w:pPr>
      <w:r w:rsidRPr="00591BD8">
        <w:rPr>
          <w:sz w:val="20"/>
          <w:szCs w:val="20"/>
        </w:rPr>
        <w:t>Table 9. Prueba de linealidad de la psicología cognitiva de los estudiantes y sus respuestas al aprendizagem de matemáticas</w:t>
      </w:r>
    </w:p>
    <w:p w14:paraId="18F4CAD4" w14:textId="0801A9BE" w:rsidR="00BB4FDA" w:rsidRPr="00591BD8" w:rsidRDefault="00BB4FDA" w:rsidP="00BC4D19">
      <w:pPr>
        <w:pStyle w:val="E-JournalBody"/>
      </w:pPr>
      <w:r w:rsidRPr="00591BD8">
        <w:rPr>
          <w:noProof/>
        </w:rPr>
        <w:drawing>
          <wp:inline distT="0" distB="0" distL="0" distR="0" wp14:anchorId="42D9A4D5" wp14:editId="29BB7675">
            <wp:extent cx="5544343" cy="1209675"/>
            <wp:effectExtent l="0" t="0" r="0" b="0"/>
            <wp:docPr id="933185808"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7026" cy="1218988"/>
                    </a:xfrm>
                    <a:prstGeom prst="rect">
                      <a:avLst/>
                    </a:prstGeom>
                    <a:noFill/>
                    <a:ln>
                      <a:noFill/>
                    </a:ln>
                  </pic:spPr>
                </pic:pic>
              </a:graphicData>
            </a:graphic>
          </wp:inline>
        </w:drawing>
      </w:r>
    </w:p>
    <w:p w14:paraId="773ADBD2" w14:textId="77777777" w:rsidR="00BB4FDA" w:rsidRPr="00591BD8" w:rsidRDefault="00BB4FDA" w:rsidP="00BB4FDA">
      <w:pPr>
        <w:pStyle w:val="E-JournalBody"/>
      </w:pPr>
      <w:r w:rsidRPr="00591BD8">
        <w:t>Based on the results of the table, it can be concluded that the data are lineales, the line study is obtained with the Kolmogorov-Smirnov rule, the significance value is &gt; 0.05. The following table presents a study of the cognitive psychological homogeneity of students, their mathematical processing skills and their answers to mathematical learning.</w:t>
      </w:r>
    </w:p>
    <w:p w14:paraId="2A091825" w14:textId="28100BC4" w:rsidR="00BB4FDA" w:rsidRPr="00591BD8" w:rsidRDefault="00BB4FDA" w:rsidP="00BB4FDA">
      <w:pPr>
        <w:pStyle w:val="E-JournalBody"/>
        <w:rPr>
          <w:sz w:val="20"/>
          <w:szCs w:val="20"/>
        </w:rPr>
      </w:pPr>
      <w:r w:rsidRPr="00591BD8">
        <w:rPr>
          <w:sz w:val="20"/>
          <w:szCs w:val="20"/>
        </w:rPr>
        <w:t>Table 10. Prueba de homogeneidad de la psicología cognitiva, las habilidades del proceso matemático y las respuestas de los estudiantes al aprendizaje de las matemáticas</w:t>
      </w:r>
    </w:p>
    <w:p w14:paraId="6A245EDB" w14:textId="62AC963E" w:rsidR="00BB4FDA" w:rsidRPr="00591BD8" w:rsidRDefault="00BB4FDA" w:rsidP="00BB4FDA">
      <w:pPr>
        <w:pStyle w:val="E-JournalBody"/>
        <w:rPr>
          <w:sz w:val="20"/>
          <w:szCs w:val="20"/>
        </w:rPr>
      </w:pPr>
      <w:r w:rsidRPr="00591BD8">
        <w:rPr>
          <w:noProof/>
        </w:rPr>
        <w:drawing>
          <wp:inline distT="0" distB="0" distL="0" distR="0" wp14:anchorId="120CA9A2" wp14:editId="4195177E">
            <wp:extent cx="5195094" cy="1133475"/>
            <wp:effectExtent l="0" t="0" r="0" b="0"/>
            <wp:docPr id="1241676282"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2366" cy="1135062"/>
                    </a:xfrm>
                    <a:prstGeom prst="rect">
                      <a:avLst/>
                    </a:prstGeom>
                    <a:noFill/>
                    <a:ln>
                      <a:noFill/>
                    </a:ln>
                  </pic:spPr>
                </pic:pic>
              </a:graphicData>
            </a:graphic>
          </wp:inline>
        </w:drawing>
      </w:r>
    </w:p>
    <w:p w14:paraId="3B2C6931" w14:textId="77777777" w:rsidR="00BB4FDA" w:rsidRPr="00591BD8" w:rsidRDefault="00BB4FDA" w:rsidP="00BB4FDA">
      <w:pPr>
        <w:pStyle w:val="E-JournalBody"/>
      </w:pPr>
      <w:r w:rsidRPr="00591BD8">
        <w:t>Based on the results of the table, it can be concluded that the data are homogeneous, the homogeneity test is obtained through the Kolmogorov-Smirnov rule with a significance value &gt; 0.05. The following is a table of the cognitive psychology of students, the mathematical process skills and the answers of the students to the learning of mathematics.</w:t>
      </w:r>
    </w:p>
    <w:p w14:paraId="5F116509" w14:textId="31CC5AB0" w:rsidR="00BB4FDA" w:rsidRPr="00591BD8" w:rsidRDefault="00BB4FDA" w:rsidP="00BB4FDA">
      <w:pPr>
        <w:pStyle w:val="E-JournalBody"/>
        <w:rPr>
          <w:sz w:val="20"/>
          <w:szCs w:val="20"/>
        </w:rPr>
      </w:pPr>
      <w:r w:rsidRPr="00591BD8">
        <w:rPr>
          <w:sz w:val="20"/>
          <w:szCs w:val="20"/>
        </w:rPr>
        <w:t>Table 11. Study of Cognitive Psychology for Students, Mathematical Process Skills and Answers of Students to Mathematics Learning</w:t>
      </w:r>
    </w:p>
    <w:p w14:paraId="21CF925B" w14:textId="689556C4" w:rsidR="00BB4FDA" w:rsidRPr="00591BD8" w:rsidRDefault="00BB4FDA" w:rsidP="00BB4FDA">
      <w:pPr>
        <w:pStyle w:val="E-JournalBody"/>
        <w:rPr>
          <w:sz w:val="20"/>
          <w:szCs w:val="20"/>
        </w:rPr>
      </w:pPr>
      <w:r w:rsidRPr="00591BD8">
        <w:rPr>
          <w:noProof/>
        </w:rPr>
        <w:drawing>
          <wp:inline distT="0" distB="0" distL="0" distR="0" wp14:anchorId="442E9550" wp14:editId="2DA7A284">
            <wp:extent cx="5428271" cy="1314450"/>
            <wp:effectExtent l="0" t="0" r="0" b="0"/>
            <wp:docPr id="1639197411"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35077" cy="1316098"/>
                    </a:xfrm>
                    <a:prstGeom prst="rect">
                      <a:avLst/>
                    </a:prstGeom>
                    <a:noFill/>
                    <a:ln>
                      <a:noFill/>
                    </a:ln>
                  </pic:spPr>
                </pic:pic>
              </a:graphicData>
            </a:graphic>
          </wp:inline>
        </w:drawing>
      </w:r>
    </w:p>
    <w:p w14:paraId="08809F5C" w14:textId="77777777" w:rsidR="00BB4FDA" w:rsidRPr="00591BD8" w:rsidRDefault="00BB4FDA" w:rsidP="00BB4FDA">
      <w:pPr>
        <w:pStyle w:val="E-JournalBody"/>
      </w:pPr>
      <w:r w:rsidRPr="00591BD8">
        <w:t>Based on the previous table, it can be interpreted that there is a comparison between the cognitive psychology of students and the answers of students in both schools, as seen in the results sig. (of the colas) less than 0.05. The following table presents a post hoc study of the cognitive psychology of students, its mathematical processing skills and its answers to mathematical learning. The following table presents the interpretation of the cognitive psychology of the students, the skills of the mathematical processes and the answers of the students to the learning of mathematics in SMPN 7 Muaro Jambi and SMPS Elhafidziyah.</w:t>
      </w:r>
    </w:p>
    <w:p w14:paraId="4546C1E3" w14:textId="496E3868" w:rsidR="00BB4FDA" w:rsidRPr="00591BD8" w:rsidRDefault="00BB4FDA" w:rsidP="00BB4FDA">
      <w:pPr>
        <w:pStyle w:val="E-JournalBody"/>
        <w:rPr>
          <w:sz w:val="20"/>
          <w:szCs w:val="20"/>
        </w:rPr>
      </w:pPr>
      <w:r w:rsidRPr="00591BD8">
        <w:rPr>
          <w:sz w:val="20"/>
          <w:szCs w:val="20"/>
        </w:rPr>
        <w:t>Table 12. Interpretación de la psicología cognitiva de los estudiantes, las habilidades de proceso matemático y las respuestas de los estudiantes al aprendizaje de matemáticas en SMPN 7 Muaro Jambi y SMPS Elhafidziyah</w:t>
      </w:r>
    </w:p>
    <w:p w14:paraId="17D99BEE" w14:textId="026D085D" w:rsidR="00BB4FDA" w:rsidRPr="00591BD8" w:rsidRDefault="00BB4FDA" w:rsidP="00BB4FDA">
      <w:pPr>
        <w:pStyle w:val="E-JournalBody"/>
        <w:rPr>
          <w:sz w:val="20"/>
          <w:szCs w:val="20"/>
        </w:rPr>
      </w:pPr>
      <w:r w:rsidRPr="00591BD8">
        <w:rPr>
          <w:noProof/>
        </w:rPr>
        <w:drawing>
          <wp:inline distT="0" distB="0" distL="0" distR="0" wp14:anchorId="2BE687E4" wp14:editId="160260CF">
            <wp:extent cx="5509517" cy="742950"/>
            <wp:effectExtent l="0" t="0" r="0" b="0"/>
            <wp:docPr id="890735683"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4671" cy="743645"/>
                    </a:xfrm>
                    <a:prstGeom prst="rect">
                      <a:avLst/>
                    </a:prstGeom>
                    <a:noFill/>
                    <a:ln>
                      <a:noFill/>
                    </a:ln>
                  </pic:spPr>
                </pic:pic>
              </a:graphicData>
            </a:graphic>
          </wp:inline>
        </w:drawing>
      </w:r>
    </w:p>
    <w:p w14:paraId="2F0ABDE5" w14:textId="77777777" w:rsidR="00BB4FDA" w:rsidRPr="00591BD8" w:rsidRDefault="00BB4FDA" w:rsidP="00BB4FDA">
      <w:pPr>
        <w:pStyle w:val="E-JournalBody"/>
      </w:pPr>
      <w:r w:rsidRPr="00591BD8">
        <w:t>The continuation is a post hoc study that uses Tukey to interpret cognitive psychology, mathematical process skills and the answers of students to learning mathematics in SMPN 7 Muaro Jambi and SMPS Elhafidziyah.</w:t>
      </w:r>
    </w:p>
    <w:p w14:paraId="1EFC4332" w14:textId="4A23BA54" w:rsidR="00BB4FDA" w:rsidRPr="00591BD8" w:rsidRDefault="00BB4FDA" w:rsidP="00BB4FDA">
      <w:pPr>
        <w:pStyle w:val="E-JournalBody"/>
        <w:rPr>
          <w:sz w:val="20"/>
          <w:szCs w:val="20"/>
        </w:rPr>
      </w:pPr>
      <w:r w:rsidRPr="00591BD8">
        <w:rPr>
          <w:sz w:val="20"/>
          <w:szCs w:val="20"/>
        </w:rPr>
        <w:t>Table 13. Post hoc study that uses Tukey to interpret cognitive psychology, mathematical process skills and student responses to mathematical learning in SMPN 7 Muaro Jambi and SMPS Elhafidziyah</w:t>
      </w:r>
    </w:p>
    <w:p w14:paraId="6713BE78" w14:textId="30BDE89E" w:rsidR="00BB4FDA" w:rsidRPr="00591BD8" w:rsidRDefault="00BB4FDA" w:rsidP="00BB4FDA">
      <w:pPr>
        <w:pStyle w:val="E-JournalBody"/>
        <w:ind w:firstLine="0"/>
        <w:rPr>
          <w:sz w:val="20"/>
          <w:szCs w:val="20"/>
        </w:rPr>
      </w:pPr>
      <w:r w:rsidRPr="00591BD8">
        <w:rPr>
          <w:noProof/>
        </w:rPr>
        <w:drawing>
          <wp:inline distT="0" distB="0" distL="0" distR="0" wp14:anchorId="0091C6DA" wp14:editId="790157D9">
            <wp:extent cx="5439448" cy="1028700"/>
            <wp:effectExtent l="0" t="0" r="0" b="0"/>
            <wp:docPr id="1668517913"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3081" cy="1029387"/>
                    </a:xfrm>
                    <a:prstGeom prst="rect">
                      <a:avLst/>
                    </a:prstGeom>
                    <a:noFill/>
                    <a:ln>
                      <a:noFill/>
                    </a:ln>
                  </pic:spPr>
                </pic:pic>
              </a:graphicData>
            </a:graphic>
          </wp:inline>
        </w:drawing>
      </w:r>
    </w:p>
    <w:p w14:paraId="4BB052FE" w14:textId="768B264C" w:rsidR="00BB4FDA" w:rsidRPr="00591BD8" w:rsidRDefault="00BB4FDA" w:rsidP="00BB4FDA">
      <w:pPr>
        <w:pStyle w:val="E-JournalBody"/>
      </w:pPr>
      <w:r w:rsidRPr="00591BD8">
        <w:t>In the results of descriptive statistical research, the researchers probaron the learning model for students implemented in SMPN 7 Muaro Jambi and SMPS Elhafidziyah. There are 2 classes in each school, namely, VII A, VII B with 30 students for a total of 120 in each class. With studies that have been carried out on descriptive statistics, there are 36 indicators of cognitive psychology, 10 indicators of mathematical process skills, 21 indicators of answers from students to the learning of mathematics that needs attention. The results of descriptive statistical tests are used to measure the process skills of students in relation to problem-based learning and problem-solving as a learning paradigm (Fuad et al., 2017; Molefe &amp; Aubin, 2021</w:t>
      </w:r>
      <w:r w:rsidR="008A7E8B">
        <w:t>; Astalini et al., 2024</w:t>
      </w:r>
      <w:r w:rsidRPr="00591BD8">
        <w:t>). According to the previous indicators, SMPN 7 Muaro Jambi has a higher percentage of cognitive psychology, mathematical processing skills and responses from the students that SMPS Elhafidziyah, how it detaches from the results of the studies that have been carried out. This shows that cognitive psychology in SMPN 7 Muaro Jambi is superior to that applied in SMPS Elhafidziyah.</w:t>
      </w:r>
    </w:p>
    <w:p w14:paraId="466CABF2" w14:textId="77777777" w:rsidR="00BB4FDA" w:rsidRPr="00591BD8" w:rsidRDefault="00BB4FDA" w:rsidP="00BB4FDA">
      <w:pPr>
        <w:pStyle w:val="E-JournalBody"/>
      </w:pPr>
      <w:r w:rsidRPr="00591BD8">
        <w:t xml:space="preserve">  Based on the results of the normality study presented in Table 8, it can be concluded that the cognitive psychology data of the students, the mathematical process skills and the answers of the students to the learning of mathematics in the schools are distributed normally. This can be seen in the Kolmogorov-Smirnov significance value, which is greater than 0.05. La prueba de linealidad que se muestra en la Tabla 9 muestra que los datos de las dos escuelas tienen una relación lineal. The significance value of the linealidad sample is higher than 0.05, which indicates that there is a linear relationship between the variables that are measured (Kuhfeld &amp; Soland, 2021). The results of the homogeneity study presented in Table 10 show that the analized data are homogeneous. This is evidenced by a significance value greater than 0.05 in the Kolmogorov-Smirnov practice, which means that the varianza entre grupos de datos es similar.</w:t>
      </w:r>
    </w:p>
    <w:p w14:paraId="520D3C4E" w14:textId="77777777" w:rsidR="00BB4FDA" w:rsidRPr="00591BD8" w:rsidRDefault="00BB4FDA" w:rsidP="00BB4FDA">
      <w:pPr>
        <w:pStyle w:val="E-JournalBody"/>
      </w:pPr>
      <w:r w:rsidRPr="00591BD8">
        <w:t xml:space="preserve">  The results of the study have been shown in Table 11 that there are significant differences between the cognitive psychology of the students and the answers of the students to the learning of mathematics in the schools. El valor de significancia (de dos colas) es menor que 0.05, lo que indica que existe una diferencia significativa entre los grupos de datos comparados. In addition, post hoc studies were also carried out to evaluate the relationship between the cognitive psychology of students and their answers to mathematics learning (Piercey &amp; Militzer, 2017; </w:t>
      </w:r>
      <w:r w:rsidRPr="00652287">
        <w:rPr>
          <w:highlight w:val="yellow"/>
        </w:rPr>
        <w:t>Warfa</w:t>
      </w:r>
      <w:r w:rsidRPr="00591BD8">
        <w:t xml:space="preserve"> et al., 2018). These results show a significant difference, which indicates that the variables of cognitive psychology influence the responses of students in mathematics learning.</w:t>
      </w:r>
    </w:p>
    <w:p w14:paraId="60CF4A8F" w14:textId="77777777" w:rsidR="00BB4FDA" w:rsidRPr="00591BD8" w:rsidRDefault="00BB4FDA" w:rsidP="00BB4FDA">
      <w:pPr>
        <w:pStyle w:val="E-JournalBody"/>
      </w:pPr>
      <w:r w:rsidRPr="00591BD8">
        <w:t xml:space="preserve">  In general, the results of this investigation show that both SMPN 7 Muaro Jambi and SMPS Elhafidziyah have students with good categories of cognitive psychology and mathematical process skills. This is reflected in the results of descriptive tests, normality, lineality, homogeneity, practice and regression tests carried out. These results provide important information about the state of the cognitive psychology and mathematical skills of the students, which can be used to develop teaching strategies that are more effective and respond to the needs of the students.</w:t>
      </w:r>
    </w:p>
    <w:p w14:paraId="0B6C4212" w14:textId="77777777" w:rsidR="00BB4FDA" w:rsidRPr="00591BD8" w:rsidRDefault="00BB4FDA" w:rsidP="00BB4FDA">
      <w:pPr>
        <w:pStyle w:val="E-JournalBody"/>
      </w:pPr>
      <w:r w:rsidRPr="00591BD8">
        <w:t xml:space="preserve">  This research is in line with research (Cantor et al., 2019) that considers aspects of cognitive psychology, but the difference is rooted in the focus that involves the schools, an aspect in the cubierto in previous investigations. Cognitive psychology provides a deep understanding of how humans process information, make decisions and solve problems in an efficient way. By using concepts of cognitive psychology, we can develop strategies and techniques to improve cognitive performance, overcome mental disorders and improve the quality of life in general.</w:t>
      </w:r>
    </w:p>
    <w:p w14:paraId="532F5227" w14:textId="156CB8A4" w:rsidR="00BB4FDA" w:rsidRPr="00591BD8" w:rsidRDefault="00BB4FDA" w:rsidP="00BB4FDA">
      <w:pPr>
        <w:pStyle w:val="E-JournalBody"/>
      </w:pPr>
      <w:r w:rsidRPr="00591BD8">
        <w:t xml:space="preserve">  The implications of this research indicate that a deep understanding of cognitive psychology and the mathematical process skills of students are very important to increase the effectiveness of mathematical learning. The results of the investigations that show a significant relationship between cognitive psychology and the responses of students in mathematics learning indicate that teachers should pay attention to the cognitive aspects of students when planning and implementing learning. By integrating teaching strategies that support cognitive development and mathematical thinking processes, such as deeper problem solving and project-based approaches, teachers can increase student participation and learning outcomes (Argaw et al., 2017; </w:t>
      </w:r>
      <w:r w:rsidRPr="00652287">
        <w:rPr>
          <w:highlight w:val="yellow"/>
        </w:rPr>
        <w:t>Gersch</w:t>
      </w:r>
      <w:r w:rsidRPr="00591BD8">
        <w:t>, 2018; Hidayati et al., 2020</w:t>
      </w:r>
      <w:r w:rsidR="008A7E8B">
        <w:t xml:space="preserve">; </w:t>
      </w:r>
      <w:r w:rsidR="008A7E8B" w:rsidRPr="008A7E8B">
        <w:rPr>
          <w:lang w:val="en-US"/>
        </w:rPr>
        <w:t xml:space="preserve">Prambanan, </w:t>
      </w:r>
      <w:proofErr w:type="spellStart"/>
      <w:r w:rsidR="008A7E8B" w:rsidRPr="008A7E8B">
        <w:rPr>
          <w:lang w:val="en-US"/>
        </w:rPr>
        <w:t>Yathasya</w:t>
      </w:r>
      <w:proofErr w:type="spellEnd"/>
      <w:r w:rsidR="008A7E8B" w:rsidRPr="008A7E8B">
        <w:rPr>
          <w:lang w:val="en-US"/>
        </w:rPr>
        <w:t>, &amp; Anwar</w:t>
      </w:r>
      <w:r w:rsidR="008A7E8B">
        <w:rPr>
          <w:lang w:val="en-US"/>
        </w:rPr>
        <w:t xml:space="preserve">, 2023; </w:t>
      </w:r>
      <w:proofErr w:type="spellStart"/>
      <w:r w:rsidR="008A7E8B">
        <w:rPr>
          <w:lang w:val="en-US"/>
        </w:rPr>
        <w:t>Astalini</w:t>
      </w:r>
      <w:proofErr w:type="spellEnd"/>
      <w:r w:rsidR="008A7E8B">
        <w:rPr>
          <w:lang w:val="en-US"/>
        </w:rPr>
        <w:t xml:space="preserve"> et al., 2023</w:t>
      </w:r>
      <w:r w:rsidRPr="00591BD8">
        <w:t>). In addition, these hallazgos alienate the need for a teacher training that focuses on teaching techniques that support the skills of mathematical processing and cognitive development, which in turn can result in a higher academic performance and a better understanding of mathematical concepts among students.</w:t>
      </w:r>
    </w:p>
    <w:p w14:paraId="1A4A7309" w14:textId="7EC2036F" w:rsidR="00BC4D19" w:rsidRPr="00591BD8" w:rsidRDefault="00BB4FDA" w:rsidP="00BB4FDA">
      <w:pPr>
        <w:pStyle w:val="E-JournalBody"/>
        <w:rPr>
          <w:lang w:val="en-US"/>
        </w:rPr>
      </w:pPr>
      <w:r w:rsidRPr="00591BD8">
        <w:t>One of the important contributions of this investigation is the enfasis in the mathematical process skills of students and cognitive psychology in the context of learning mathematics, which is a relatively new point of view in the educational literature. This research provides a deeper understanding of how aspects of the cognitive psychology of students can influence their answers in mathematics learning, as well as how the skills of mathematical processes can play a role in the understanding of mathematical concepts (Banks et al., 2018</w:t>
      </w:r>
      <w:r w:rsidR="008A7E8B">
        <w:t xml:space="preserve">; </w:t>
      </w:r>
      <w:proofErr w:type="spellStart"/>
      <w:r w:rsidR="008A7E8B" w:rsidRPr="008A7E8B">
        <w:rPr>
          <w:lang w:val="en-US"/>
        </w:rPr>
        <w:t>Misastri</w:t>
      </w:r>
      <w:proofErr w:type="spellEnd"/>
      <w:r w:rsidR="008A7E8B" w:rsidRPr="008A7E8B">
        <w:rPr>
          <w:lang w:val="en-US"/>
        </w:rPr>
        <w:t xml:space="preserve">, </w:t>
      </w:r>
      <w:proofErr w:type="spellStart"/>
      <w:r w:rsidR="008A7E8B" w:rsidRPr="008A7E8B">
        <w:rPr>
          <w:lang w:val="en-US"/>
        </w:rPr>
        <w:t>Wirayuda</w:t>
      </w:r>
      <w:proofErr w:type="spellEnd"/>
      <w:r w:rsidR="008A7E8B" w:rsidRPr="008A7E8B">
        <w:rPr>
          <w:lang w:val="en-US"/>
        </w:rPr>
        <w:t xml:space="preserve">, &amp; </w:t>
      </w:r>
      <w:proofErr w:type="spellStart"/>
      <w:r w:rsidR="008A7E8B" w:rsidRPr="008A7E8B">
        <w:rPr>
          <w:lang w:val="en-US"/>
        </w:rPr>
        <w:t>Syarbaini</w:t>
      </w:r>
      <w:proofErr w:type="spellEnd"/>
      <w:r w:rsidR="008A7E8B">
        <w:rPr>
          <w:lang w:val="en-US"/>
        </w:rPr>
        <w:t>, 2023</w:t>
      </w:r>
      <w:r w:rsidRPr="00591BD8">
        <w:t>). Focusing on these aspects, this research provides a solid basis for the development of more holistic and effective teaching strategies, which can improve the quality of mathematics learning and enrich the general learning experience of students (Khotimah &amp; Mahmudah, 2021; Sherif et al., 2021). By broadening the understanding of the importance of cognitive psychology and the skills of mathematical processes in the context of mathematical learning, this research provides significant new contributions to the development of teaching practices oriented to a better understanding and academic performance of students</w:t>
      </w:r>
      <w:r w:rsidR="00BC4D19" w:rsidRPr="00591BD8">
        <w:rPr>
          <w:b/>
          <w:bCs/>
          <w:i/>
          <w:iCs/>
        </w:rPr>
        <w:t>.</w:t>
      </w:r>
    </w:p>
    <w:p w14:paraId="352BF2C4" w14:textId="77777777" w:rsidR="00BC4D19" w:rsidRPr="00591BD8" w:rsidRDefault="00BC4D19" w:rsidP="00BC4D19">
      <w:pPr>
        <w:pStyle w:val="E-JournalHeading1"/>
        <w:spacing w:after="0"/>
        <w:rPr>
          <w:color w:val="70AD47" w:themeColor="accent6"/>
        </w:rPr>
      </w:pPr>
      <w:r w:rsidRPr="00591BD8">
        <w:rPr>
          <w:color w:val="70AD47" w:themeColor="accent6"/>
        </w:rPr>
        <w:t>CONCLUSION</w:t>
      </w:r>
    </w:p>
    <w:p w14:paraId="720D2284" w14:textId="66C54727" w:rsidR="00BC4D19" w:rsidRPr="00591BD8" w:rsidRDefault="00BB4FDA" w:rsidP="00BC4D19">
      <w:pPr>
        <w:pStyle w:val="E-JournalBody"/>
      </w:pPr>
      <w:r w:rsidRPr="00591BD8">
        <w:t>Based on the results of hypothesis studies, research studies and data analysis, the conclusion of this research is 120 samples of learning models based on problems of classes VII A, VII B. This research was carried out by SMPN 7 Muaro Jambi and SMPS Elhafidziyah. From the results of the study of description it can be concluded that SMPN 7 Muaro Jambi is more superior and superior in comparison with SMPS Elhafidziyah. Based on the results of the research and post hoc, it can be concluded that there are differences and comparisons in the three variables, namely, cognitive psychology, mathematical process skills and answers from students to learning mathematics in the schools. The researchers believe that they carry out more research to explore the effectiveness of various cognitive-based teaching methods, such as cooperative learning, problem-based learning or the use of educational technology to improve students' understanding of comparative material.</w:t>
      </w:r>
    </w:p>
    <w:p w14:paraId="08BB6E92" w14:textId="77777777" w:rsidR="00BB4FDA" w:rsidRPr="00591BD8" w:rsidRDefault="00BB4FDA" w:rsidP="00BC4D19">
      <w:pPr>
        <w:pStyle w:val="E-JournalBody"/>
        <w:ind w:firstLine="0"/>
        <w:rPr>
          <w:rStyle w:val="Strong"/>
          <w:color w:val="70AD47" w:themeColor="accent6"/>
        </w:rPr>
      </w:pPr>
    </w:p>
    <w:p w14:paraId="22CD3158" w14:textId="39478B65" w:rsidR="00BC4D19" w:rsidRPr="00591BD8" w:rsidRDefault="00BC4D19" w:rsidP="00BC4D19">
      <w:pPr>
        <w:pStyle w:val="E-JournalBody"/>
        <w:ind w:firstLine="0"/>
        <w:rPr>
          <w:b/>
          <w:bCs/>
          <w:color w:val="70AD47" w:themeColor="accent6"/>
          <w:lang w:val="en-US"/>
        </w:rPr>
      </w:pPr>
      <w:r w:rsidRPr="00591BD8">
        <w:rPr>
          <w:b/>
          <w:bCs/>
          <w:color w:val="70AD47" w:themeColor="accent6"/>
        </w:rPr>
        <w:t>REFERENCES</w:t>
      </w:r>
    </w:p>
    <w:p w14:paraId="626CBD65" w14:textId="55D5F139" w:rsidR="008A7E8B" w:rsidRPr="008A7E8B" w:rsidRDefault="008A7E8B" w:rsidP="008A7E8B">
      <w:pPr>
        <w:pStyle w:val="E-JournalBody"/>
        <w:ind w:left="567" w:hanging="567"/>
      </w:pPr>
      <w:r w:rsidRPr="008A7E8B">
        <w:t xml:space="preserve">Ahn, J., &amp; Kwon, J. (2020). Green hotel brands in Malaysia: perceived value, cost, anticipated emotion, and revisit intention. </w:t>
      </w:r>
      <w:r w:rsidRPr="008A7E8B">
        <w:rPr>
          <w:i/>
          <w:iCs/>
        </w:rPr>
        <w:t>Current Issues in Tourism, 23</w:t>
      </w:r>
      <w:r w:rsidRPr="008A7E8B">
        <w:t xml:space="preserve">(12), 1559–1574. </w:t>
      </w:r>
      <w:r>
        <w:fldChar w:fldCharType="begin"/>
      </w:r>
      <w:r>
        <w:instrText>HYPERLINK "</w:instrText>
      </w:r>
      <w:r w:rsidRPr="008A7E8B">
        <w:instrText>https://doi.org/10.1080/13683500.2019.1646715</w:instrText>
      </w:r>
      <w:r>
        <w:instrText>"</w:instrText>
      </w:r>
      <w:r>
        <w:fldChar w:fldCharType="separate"/>
      </w:r>
      <w:r w:rsidRPr="008A7E8B">
        <w:rPr>
          <w:rStyle w:val="Hyperlink"/>
        </w:rPr>
        <w:t>https://doi.org/10.1080/13683500.2019.1646715</w:t>
      </w:r>
      <w:r>
        <w:fldChar w:fldCharType="end"/>
      </w:r>
      <w:r>
        <w:t xml:space="preserve"> </w:t>
      </w:r>
    </w:p>
    <w:p w14:paraId="00AABD96" w14:textId="01C2FA05" w:rsidR="008A7E8B" w:rsidRPr="008A7E8B" w:rsidRDefault="008A7E8B" w:rsidP="008A7E8B">
      <w:pPr>
        <w:pStyle w:val="E-JournalBody"/>
        <w:ind w:left="567" w:hanging="567"/>
      </w:pPr>
      <w:r w:rsidRPr="008A7E8B">
        <w:t xml:space="preserve">Amrhein, V., Trafimow, D., &amp; Greenland, S. (2019). Inferential statistics as descriptive statistics: There is no replication crisis if we don’t expect replication. </w:t>
      </w:r>
      <w:r w:rsidRPr="008A7E8B">
        <w:rPr>
          <w:i/>
          <w:iCs/>
        </w:rPr>
        <w:t>American Statistician, 73</w:t>
      </w:r>
      <w:r w:rsidRPr="008A7E8B">
        <w:t xml:space="preserve">(sup1), 262–270. </w:t>
      </w:r>
      <w:r>
        <w:fldChar w:fldCharType="begin"/>
      </w:r>
      <w:r>
        <w:instrText>HYPERLINK "</w:instrText>
      </w:r>
      <w:r w:rsidRPr="008A7E8B">
        <w:instrText>https://doi.org/10.1080/00031305.2018.1543137</w:instrText>
      </w:r>
      <w:r>
        <w:instrText>"</w:instrText>
      </w:r>
      <w:r>
        <w:fldChar w:fldCharType="separate"/>
      </w:r>
      <w:r w:rsidRPr="008A7E8B">
        <w:rPr>
          <w:rStyle w:val="Hyperlink"/>
        </w:rPr>
        <w:t>https://doi.org/10.1080/00031305.2018.1543137</w:t>
      </w:r>
      <w:r>
        <w:fldChar w:fldCharType="end"/>
      </w:r>
      <w:r>
        <w:t xml:space="preserve"> </w:t>
      </w:r>
    </w:p>
    <w:p w14:paraId="3137DA91" w14:textId="249E70C8" w:rsidR="008A7E8B" w:rsidRPr="008A7E8B" w:rsidRDefault="008A7E8B" w:rsidP="008A7E8B">
      <w:pPr>
        <w:pStyle w:val="E-JournalBody"/>
        <w:ind w:left="567" w:hanging="567"/>
      </w:pPr>
      <w:r w:rsidRPr="008A7E8B">
        <w:t xml:space="preserve">Argaw, A. S., Haile, B. B., Ayalew, B. T., &amp; Kuma, S. G. (2017). The effect of problem based learning (PBL) instruction on students’ motivation and problem solving skills of physics. </w:t>
      </w:r>
      <w:r w:rsidRPr="008A7E8B">
        <w:rPr>
          <w:i/>
          <w:iCs/>
        </w:rPr>
        <w:t>Eurasia Journal of Mathematics, Science and Technology Education, 13</w:t>
      </w:r>
      <w:r w:rsidRPr="008A7E8B">
        <w:t xml:space="preserve">(3), 857–871. </w:t>
      </w:r>
      <w:r>
        <w:fldChar w:fldCharType="begin"/>
      </w:r>
      <w:r>
        <w:instrText>HYPERLINK "</w:instrText>
      </w:r>
      <w:r w:rsidRPr="008A7E8B">
        <w:instrText>https://doi.org/10.12973/eurasia.2017.00647a</w:instrText>
      </w:r>
      <w:r>
        <w:instrText>"</w:instrText>
      </w:r>
      <w:r>
        <w:fldChar w:fldCharType="separate"/>
      </w:r>
      <w:r w:rsidRPr="008A7E8B">
        <w:rPr>
          <w:rStyle w:val="Hyperlink"/>
        </w:rPr>
        <w:t>https://doi.org/10.12973/eurasia.2017.00647a</w:t>
      </w:r>
      <w:r>
        <w:fldChar w:fldCharType="end"/>
      </w:r>
      <w:r>
        <w:t xml:space="preserve"> </w:t>
      </w:r>
    </w:p>
    <w:p w14:paraId="49B48DEB" w14:textId="2F0B8064" w:rsidR="008A7E8B" w:rsidRDefault="008A7E8B" w:rsidP="008A7E8B">
      <w:pPr>
        <w:pStyle w:val="E-JournalBody"/>
        <w:ind w:left="567" w:hanging="567"/>
      </w:pPr>
      <w:r w:rsidRPr="008A7E8B">
        <w:rPr>
          <w:lang w:val="en-US"/>
        </w:rPr>
        <w:t xml:space="preserve">Asamoah, Y. D., Appiah-Twumasi, E., </w:t>
      </w:r>
      <w:proofErr w:type="spellStart"/>
      <w:r w:rsidRPr="008A7E8B">
        <w:rPr>
          <w:lang w:val="en-US"/>
        </w:rPr>
        <w:t>Fiave</w:t>
      </w:r>
      <w:proofErr w:type="spellEnd"/>
      <w:r w:rsidRPr="008A7E8B">
        <w:rPr>
          <w:lang w:val="en-US"/>
        </w:rPr>
        <w:t xml:space="preserve">, J. B. K., &amp; </w:t>
      </w:r>
      <w:proofErr w:type="spellStart"/>
      <w:r w:rsidRPr="008A7E8B">
        <w:rPr>
          <w:lang w:val="en-US"/>
        </w:rPr>
        <w:t>Mamudu</w:t>
      </w:r>
      <w:proofErr w:type="spellEnd"/>
      <w:r w:rsidRPr="008A7E8B">
        <w:rPr>
          <w:lang w:val="en-US"/>
        </w:rPr>
        <w:t>, D. (2024). Comparative effects of generative learning strategies and 5e strategies on pre-service teachers’ achievement of integrated science</w:t>
      </w:r>
      <w:r>
        <w:rPr>
          <w:lang w:val="en-US"/>
        </w:rPr>
        <w:t xml:space="preserve"> </w:t>
      </w:r>
      <w:r w:rsidRPr="008A7E8B">
        <w:rPr>
          <w:lang w:val="en-US"/>
        </w:rPr>
        <w:t>concepts. </w:t>
      </w:r>
      <w:r w:rsidRPr="008A7E8B">
        <w:rPr>
          <w:i/>
          <w:iCs/>
          <w:lang w:val="en-US"/>
        </w:rPr>
        <w:t>Integrated Science Education Journal</w:t>
      </w:r>
      <w:r w:rsidRPr="008A7E8B">
        <w:rPr>
          <w:lang w:val="en-US"/>
        </w:rPr>
        <w:t>, </w:t>
      </w:r>
      <w:r w:rsidRPr="008A7E8B">
        <w:rPr>
          <w:i/>
          <w:iCs/>
          <w:lang w:val="en-US"/>
        </w:rPr>
        <w:t>5</w:t>
      </w:r>
      <w:r w:rsidRPr="008A7E8B">
        <w:rPr>
          <w:lang w:val="en-US"/>
        </w:rPr>
        <w:t xml:space="preserve">(3), 125-133. </w:t>
      </w:r>
      <w:hyperlink r:id="rId22" w:history="1">
        <w:r w:rsidRPr="008A7E8B">
          <w:rPr>
            <w:rStyle w:val="Hyperlink"/>
            <w:lang w:val="en-US"/>
          </w:rPr>
          <w:t>https://doi.org/10.37251/isej.v5i3.1002</w:t>
        </w:r>
      </w:hyperlink>
    </w:p>
    <w:p w14:paraId="6B7D99A0" w14:textId="3A6484C7" w:rsidR="008A7E8B" w:rsidRDefault="008A7E8B" w:rsidP="008A7E8B">
      <w:pPr>
        <w:pStyle w:val="E-JournalBody"/>
        <w:ind w:left="567" w:hanging="567"/>
      </w:pPr>
      <w:proofErr w:type="spellStart"/>
      <w:r w:rsidRPr="008A7E8B">
        <w:rPr>
          <w:lang w:val="en-US"/>
        </w:rPr>
        <w:t>Astalini</w:t>
      </w:r>
      <w:proofErr w:type="spellEnd"/>
      <w:r w:rsidRPr="008A7E8B">
        <w:rPr>
          <w:lang w:val="en-US"/>
        </w:rPr>
        <w:t xml:space="preserve">, A., </w:t>
      </w:r>
      <w:proofErr w:type="spellStart"/>
      <w:r w:rsidRPr="008A7E8B">
        <w:rPr>
          <w:lang w:val="en-US"/>
        </w:rPr>
        <w:t>Darmaji</w:t>
      </w:r>
      <w:proofErr w:type="spellEnd"/>
      <w:r w:rsidRPr="008A7E8B">
        <w:rPr>
          <w:lang w:val="en-US"/>
        </w:rPr>
        <w:t xml:space="preserve">, D., Kurniawan, D. A., &amp; </w:t>
      </w:r>
      <w:proofErr w:type="spellStart"/>
      <w:r w:rsidRPr="008A7E8B">
        <w:rPr>
          <w:lang w:val="en-US"/>
        </w:rPr>
        <w:t>Septi</w:t>
      </w:r>
      <w:proofErr w:type="spellEnd"/>
      <w:r w:rsidRPr="008A7E8B">
        <w:rPr>
          <w:lang w:val="en-US"/>
        </w:rPr>
        <w:t xml:space="preserve">, S. E. (2023). Overview the inquiry learning model: Attitudes, student characters, and student responses what’s the </w:t>
      </w:r>
      <w:proofErr w:type="gramStart"/>
      <w:r w:rsidRPr="008A7E8B">
        <w:rPr>
          <w:lang w:val="en-US"/>
        </w:rPr>
        <w:t>impact?.</w:t>
      </w:r>
      <w:proofErr w:type="gramEnd"/>
      <w:r w:rsidRPr="008A7E8B">
        <w:rPr>
          <w:lang w:val="en-US"/>
        </w:rPr>
        <w:t> </w:t>
      </w:r>
      <w:r w:rsidRPr="008A7E8B">
        <w:rPr>
          <w:i/>
          <w:iCs/>
          <w:lang w:val="en-US"/>
        </w:rPr>
        <w:t>Journal of Education and Learning (</w:t>
      </w:r>
      <w:proofErr w:type="spellStart"/>
      <w:r w:rsidRPr="008A7E8B">
        <w:rPr>
          <w:i/>
          <w:iCs/>
          <w:lang w:val="en-US"/>
        </w:rPr>
        <w:t>EduLearn</w:t>
      </w:r>
      <w:proofErr w:type="spellEnd"/>
      <w:r w:rsidRPr="008A7E8B">
        <w:rPr>
          <w:i/>
          <w:iCs/>
          <w:lang w:val="en-US"/>
        </w:rPr>
        <w:t>)</w:t>
      </w:r>
      <w:r w:rsidRPr="008A7E8B">
        <w:rPr>
          <w:lang w:val="en-US"/>
        </w:rPr>
        <w:t>, </w:t>
      </w:r>
      <w:r w:rsidRPr="008A7E8B">
        <w:rPr>
          <w:i/>
          <w:iCs/>
          <w:lang w:val="en-US"/>
        </w:rPr>
        <w:t>17</w:t>
      </w:r>
      <w:r w:rsidRPr="008A7E8B">
        <w:rPr>
          <w:lang w:val="en-US"/>
        </w:rPr>
        <w:t xml:space="preserve">(1), 85-92. </w:t>
      </w:r>
      <w:hyperlink r:id="rId23" w:history="1">
        <w:r w:rsidRPr="008A7E8B">
          <w:rPr>
            <w:rStyle w:val="Hyperlink"/>
            <w:lang w:val="en-US"/>
          </w:rPr>
          <w:t>https://doi.org/10.11591/edulearn.v17i1.20530</w:t>
        </w:r>
      </w:hyperlink>
    </w:p>
    <w:p w14:paraId="5D0622FE" w14:textId="7F2FE0F3" w:rsidR="008A7E8B" w:rsidRPr="008A7E8B" w:rsidRDefault="008A7E8B" w:rsidP="008A7E8B">
      <w:pPr>
        <w:pStyle w:val="E-JournalBody"/>
        <w:ind w:left="567" w:hanging="567"/>
      </w:pPr>
      <w:r w:rsidRPr="008A7E8B">
        <w:t>Astalini, A., Darmaji, D., Kurniawan, D. A., Perdana, R., &amp; Andriyanto, A. (2024). Does the inquiry learning model have an impact on social attitudes and responsible character?. </w:t>
      </w:r>
      <w:r w:rsidRPr="008A7E8B">
        <w:rPr>
          <w:i/>
          <w:iCs/>
        </w:rPr>
        <w:t>Jurnal Ilmiah Ilmu Terapan Universitas Jambi</w:t>
      </w:r>
      <w:r w:rsidRPr="008A7E8B">
        <w:t>, </w:t>
      </w:r>
      <w:r w:rsidRPr="008A7E8B">
        <w:rPr>
          <w:i/>
          <w:iCs/>
        </w:rPr>
        <w:t>8</w:t>
      </w:r>
      <w:r w:rsidRPr="008A7E8B">
        <w:t xml:space="preserve">(1), 104-116. </w:t>
      </w:r>
      <w:r>
        <w:fldChar w:fldCharType="begin"/>
      </w:r>
      <w:r>
        <w:instrText>HYPERLINK "</w:instrText>
      </w:r>
      <w:r w:rsidRPr="008A7E8B">
        <w:instrText>https://doi.org/10.22437/jiituj.v8i1.31981</w:instrText>
      </w:r>
      <w:r>
        <w:instrText>"</w:instrText>
      </w:r>
      <w:r>
        <w:fldChar w:fldCharType="separate"/>
      </w:r>
      <w:r w:rsidRPr="008A7E8B">
        <w:rPr>
          <w:rStyle w:val="Hyperlink"/>
        </w:rPr>
        <w:t>https://doi.org/10.22437/jiituj.v8i1.31981</w:t>
      </w:r>
      <w:r>
        <w:fldChar w:fldCharType="end"/>
      </w:r>
      <w:r>
        <w:t xml:space="preserve"> </w:t>
      </w:r>
    </w:p>
    <w:p w14:paraId="46C8B38F" w14:textId="2D0DC929" w:rsidR="008A7E8B" w:rsidRPr="008A7E8B" w:rsidRDefault="008A7E8B" w:rsidP="008A7E8B">
      <w:pPr>
        <w:pStyle w:val="E-JournalBody"/>
        <w:ind w:left="567" w:hanging="567"/>
      </w:pPr>
      <w:r w:rsidRPr="008A7E8B">
        <w:t xml:space="preserve">Azis, I., &amp; Clefoto, M. (2024). Improving learning discipline: The </w:t>
      </w:r>
      <w:r>
        <w:t>e</w:t>
      </w:r>
      <w:r w:rsidRPr="008A7E8B">
        <w:t xml:space="preserve">ffect of Self-Management </w:t>
      </w:r>
      <w:r>
        <w:t>a</w:t>
      </w:r>
      <w:r w:rsidRPr="008A7E8B">
        <w:t xml:space="preserve">bility on students in mathematics subjects. </w:t>
      </w:r>
      <w:r w:rsidRPr="008A7E8B">
        <w:rPr>
          <w:i/>
          <w:iCs/>
        </w:rPr>
        <w:t>Interval: Indonesian Journal of Mathematical Education, 2</w:t>
      </w:r>
      <w:r w:rsidRPr="008A7E8B">
        <w:t xml:space="preserve">(1), 8-14. </w:t>
      </w:r>
      <w:r>
        <w:fldChar w:fldCharType="begin"/>
      </w:r>
      <w:r>
        <w:instrText>HYPERLINK "</w:instrText>
      </w:r>
      <w:r w:rsidRPr="008A7E8B">
        <w:instrText>https://doi.org/10.37251/ijome.v2i1.982</w:instrText>
      </w:r>
      <w:r>
        <w:instrText>"</w:instrText>
      </w:r>
      <w:r>
        <w:fldChar w:fldCharType="separate"/>
      </w:r>
      <w:r w:rsidRPr="008A7E8B">
        <w:rPr>
          <w:rStyle w:val="Hyperlink"/>
        </w:rPr>
        <w:t>https://doi.org/10.37251/ijome.v2i1.982</w:t>
      </w:r>
      <w:r>
        <w:fldChar w:fldCharType="end"/>
      </w:r>
      <w:r>
        <w:t xml:space="preserve"> </w:t>
      </w:r>
    </w:p>
    <w:p w14:paraId="1C9D53D9" w14:textId="007923F5" w:rsidR="008A7E8B" w:rsidRPr="008A7E8B" w:rsidRDefault="008A7E8B" w:rsidP="008A7E8B">
      <w:pPr>
        <w:pStyle w:val="E-JournalBody"/>
        <w:ind w:left="567" w:hanging="567"/>
      </w:pPr>
      <w:r w:rsidRPr="008A7E8B">
        <w:t xml:space="preserve">Azizah, N., Muluk, H., &amp; Milla, M. N. (2023). Pursuing ideological passion in Islamic radical group’s insurgency: </w:t>
      </w:r>
      <w:r>
        <w:t>A</w:t>
      </w:r>
      <w:r w:rsidRPr="008A7E8B">
        <w:t xml:space="preserve"> case study of Negara Islam Indonesia. </w:t>
      </w:r>
      <w:r w:rsidRPr="008A7E8B">
        <w:rPr>
          <w:i/>
          <w:iCs/>
        </w:rPr>
        <w:t>Indonesian Journal of Islam and Muslim Societies, 13</w:t>
      </w:r>
      <w:r w:rsidRPr="008A7E8B">
        <w:t xml:space="preserve">(1), 1–27. </w:t>
      </w:r>
      <w:r>
        <w:fldChar w:fldCharType="begin"/>
      </w:r>
      <w:r>
        <w:instrText>HYPERLINK "</w:instrText>
      </w:r>
      <w:r w:rsidRPr="008A7E8B">
        <w:instrText>https://doi.org/10.18326/ijims.v13i1.1-27</w:instrText>
      </w:r>
      <w:r>
        <w:instrText>"</w:instrText>
      </w:r>
      <w:r>
        <w:fldChar w:fldCharType="separate"/>
      </w:r>
      <w:r w:rsidRPr="008A7E8B">
        <w:rPr>
          <w:rStyle w:val="Hyperlink"/>
        </w:rPr>
        <w:t>https://doi.org/10.18326/ijims.v13i1.1-27</w:t>
      </w:r>
      <w:r>
        <w:fldChar w:fldCharType="end"/>
      </w:r>
      <w:r>
        <w:t xml:space="preserve"> </w:t>
      </w:r>
    </w:p>
    <w:p w14:paraId="1D459439" w14:textId="368F060B" w:rsidR="008A7E8B" w:rsidRDefault="008A7E8B" w:rsidP="008A7E8B">
      <w:pPr>
        <w:pStyle w:val="E-JournalBody"/>
        <w:ind w:left="567" w:hanging="567"/>
      </w:pPr>
      <w:r w:rsidRPr="008A7E8B">
        <w:rPr>
          <w:lang w:val="en-US"/>
        </w:rPr>
        <w:t xml:space="preserve">Badiah, S., </w:t>
      </w:r>
      <w:proofErr w:type="spellStart"/>
      <w:r w:rsidRPr="008A7E8B">
        <w:rPr>
          <w:lang w:val="en-US"/>
        </w:rPr>
        <w:t>Saefullah</w:t>
      </w:r>
      <w:proofErr w:type="spellEnd"/>
      <w:r w:rsidRPr="008A7E8B">
        <w:rPr>
          <w:lang w:val="en-US"/>
        </w:rPr>
        <w:t xml:space="preserve">, A., &amp; </w:t>
      </w:r>
      <w:proofErr w:type="spellStart"/>
      <w:r w:rsidRPr="008A7E8B">
        <w:rPr>
          <w:lang w:val="en-US"/>
        </w:rPr>
        <w:t>Antarnusa</w:t>
      </w:r>
      <w:proofErr w:type="spellEnd"/>
      <w:r w:rsidRPr="008A7E8B">
        <w:rPr>
          <w:lang w:val="en-US"/>
        </w:rPr>
        <w:t>, G. (2024). Development of integrated education for sustainable development digital teaching materials on renewable energy to facilitate students’ critical thinking abilities. </w:t>
      </w:r>
      <w:proofErr w:type="spellStart"/>
      <w:r w:rsidRPr="008A7E8B">
        <w:rPr>
          <w:i/>
          <w:iCs/>
          <w:lang w:val="en-US"/>
        </w:rPr>
        <w:t>EduFisika</w:t>
      </w:r>
      <w:proofErr w:type="spellEnd"/>
      <w:r w:rsidRPr="008A7E8B">
        <w:rPr>
          <w:i/>
          <w:iCs/>
          <w:lang w:val="en-US"/>
        </w:rPr>
        <w:t xml:space="preserve">: </w:t>
      </w:r>
      <w:proofErr w:type="spellStart"/>
      <w:r w:rsidRPr="008A7E8B">
        <w:rPr>
          <w:i/>
          <w:iCs/>
          <w:lang w:val="en-US"/>
        </w:rPr>
        <w:t>Jurnal</w:t>
      </w:r>
      <w:proofErr w:type="spellEnd"/>
      <w:r w:rsidRPr="008A7E8B">
        <w:rPr>
          <w:i/>
          <w:iCs/>
          <w:lang w:val="en-US"/>
        </w:rPr>
        <w:t xml:space="preserve"> Pendidikan </w:t>
      </w:r>
      <w:proofErr w:type="spellStart"/>
      <w:r w:rsidRPr="008A7E8B">
        <w:rPr>
          <w:i/>
          <w:iCs/>
          <w:lang w:val="en-US"/>
        </w:rPr>
        <w:t>Fisika</w:t>
      </w:r>
      <w:proofErr w:type="spellEnd"/>
      <w:r w:rsidRPr="008A7E8B">
        <w:rPr>
          <w:lang w:val="en-US"/>
        </w:rPr>
        <w:t>, </w:t>
      </w:r>
      <w:r w:rsidRPr="008A7E8B">
        <w:rPr>
          <w:i/>
          <w:iCs/>
          <w:lang w:val="en-US"/>
        </w:rPr>
        <w:t>9</w:t>
      </w:r>
      <w:r w:rsidRPr="008A7E8B">
        <w:rPr>
          <w:lang w:val="en-US"/>
        </w:rPr>
        <w:t xml:space="preserve">(1), 63-73. </w:t>
      </w:r>
      <w:hyperlink r:id="rId24" w:history="1">
        <w:r w:rsidRPr="008A7E8B">
          <w:rPr>
            <w:rStyle w:val="Hyperlink"/>
            <w:lang w:val="en-US"/>
          </w:rPr>
          <w:t>https://doi.org/10.59052/edufisika.v9i1.32225</w:t>
        </w:r>
      </w:hyperlink>
    </w:p>
    <w:p w14:paraId="5AA6745C" w14:textId="7FF60C5F" w:rsidR="008A7E8B" w:rsidRPr="008A7E8B" w:rsidRDefault="008A7E8B" w:rsidP="008A7E8B">
      <w:pPr>
        <w:pStyle w:val="E-JournalBody"/>
        <w:ind w:left="567" w:hanging="567"/>
      </w:pPr>
      <w:r w:rsidRPr="008A7E8B">
        <w:t xml:space="preserve">Banks, H. T., Flores, K. B., Langlois, C. R., Serio, T. R., &amp; Sindi, S. S. (2018). Estimating the rate of prion aggregate amplification in yeast with a generation and structured population model. </w:t>
      </w:r>
      <w:r w:rsidRPr="008A7E8B">
        <w:rPr>
          <w:i/>
          <w:iCs/>
        </w:rPr>
        <w:t>Inverse Problems in Science and Engineering, 26</w:t>
      </w:r>
      <w:r w:rsidRPr="008A7E8B">
        <w:t xml:space="preserve">(2), 257–279. </w:t>
      </w:r>
      <w:r>
        <w:fldChar w:fldCharType="begin"/>
      </w:r>
      <w:r>
        <w:instrText>HYPERLINK "</w:instrText>
      </w:r>
      <w:r w:rsidRPr="008A7E8B">
        <w:instrText>https://doi.org/10.1080/17415977.2017.1316498</w:instrText>
      </w:r>
      <w:r>
        <w:instrText>"</w:instrText>
      </w:r>
      <w:r>
        <w:fldChar w:fldCharType="separate"/>
      </w:r>
      <w:r w:rsidRPr="008A7E8B">
        <w:rPr>
          <w:rStyle w:val="Hyperlink"/>
        </w:rPr>
        <w:t>https://doi.org/10.1080/17415977.2017.1316498</w:t>
      </w:r>
      <w:r>
        <w:fldChar w:fldCharType="end"/>
      </w:r>
      <w:r>
        <w:t xml:space="preserve"> </w:t>
      </w:r>
    </w:p>
    <w:p w14:paraId="3ECAE708" w14:textId="5C559CD2" w:rsidR="008A7E8B" w:rsidRPr="008A7E8B" w:rsidRDefault="008A7E8B" w:rsidP="008A7E8B">
      <w:pPr>
        <w:pStyle w:val="E-JournalBody"/>
        <w:ind w:left="567" w:hanging="567"/>
      </w:pPr>
      <w:r w:rsidRPr="008A7E8B">
        <w:t xml:space="preserve">Cantor, P., Osher, D., Berg, J., Steyer, L., &amp; Rose, T. (2019). Malleability, plasticity, and individuality: How children learn and develop in context1. </w:t>
      </w:r>
      <w:r w:rsidRPr="008A7E8B">
        <w:rPr>
          <w:i/>
          <w:iCs/>
        </w:rPr>
        <w:t>Applied Developmental Science, 23</w:t>
      </w:r>
      <w:r w:rsidRPr="008A7E8B">
        <w:t xml:space="preserve">(4), 307–337. </w:t>
      </w:r>
      <w:r>
        <w:fldChar w:fldCharType="begin"/>
      </w:r>
      <w:r>
        <w:instrText>HYPERLINK "</w:instrText>
      </w:r>
      <w:r w:rsidRPr="008A7E8B">
        <w:instrText>https://doi.org/10.1080/10888691.2017.1398649</w:instrText>
      </w:r>
      <w:r>
        <w:instrText>"</w:instrText>
      </w:r>
      <w:r>
        <w:fldChar w:fldCharType="separate"/>
      </w:r>
      <w:r w:rsidRPr="008A7E8B">
        <w:rPr>
          <w:rStyle w:val="Hyperlink"/>
        </w:rPr>
        <w:t>https://doi.org/10.1080/10888691.2017.1398649</w:t>
      </w:r>
      <w:r>
        <w:fldChar w:fldCharType="end"/>
      </w:r>
      <w:r>
        <w:t xml:space="preserve"> </w:t>
      </w:r>
    </w:p>
    <w:p w14:paraId="090DF02E" w14:textId="6F0D6845" w:rsidR="008A7E8B" w:rsidRPr="008A7E8B" w:rsidRDefault="008A7E8B" w:rsidP="008A7E8B">
      <w:pPr>
        <w:pStyle w:val="E-JournalBody"/>
        <w:ind w:left="567" w:hanging="567"/>
      </w:pPr>
      <w:r w:rsidRPr="008A7E8B">
        <w:t xml:space="preserve">Christidamayani, A. P., &amp; Kristanto, Y. D. (2020). The effects of problem posing learning model on students’ learning achievement and motivation. </w:t>
      </w:r>
      <w:r w:rsidRPr="008A7E8B">
        <w:rPr>
          <w:i/>
          <w:iCs/>
        </w:rPr>
        <w:t>Indonesian Journal on Learning and Advanced Education (IJOLAE), 2</w:t>
      </w:r>
      <w:r w:rsidRPr="008A7E8B">
        <w:t xml:space="preserve">(2), 100–108. </w:t>
      </w:r>
      <w:r>
        <w:fldChar w:fldCharType="begin"/>
      </w:r>
      <w:r>
        <w:instrText>HYPERLINK "</w:instrText>
      </w:r>
      <w:r w:rsidRPr="008A7E8B">
        <w:instrText>https://doi.org/10.23917/ijolae.v2i2.998</w:instrText>
      </w:r>
      <w:r>
        <w:instrText>1"</w:instrText>
      </w:r>
      <w:r>
        <w:fldChar w:fldCharType="separate"/>
      </w:r>
      <w:r w:rsidRPr="008A7E8B">
        <w:rPr>
          <w:rStyle w:val="Hyperlink"/>
        </w:rPr>
        <w:t>https://doi.org/10.23917/ijolae.v2i2.998</w:t>
      </w:r>
      <w:r w:rsidRPr="006A2E97">
        <w:rPr>
          <w:rStyle w:val="Hyperlink"/>
        </w:rPr>
        <w:t>1</w:t>
      </w:r>
      <w:r>
        <w:fldChar w:fldCharType="end"/>
      </w:r>
      <w:r>
        <w:t xml:space="preserve"> </w:t>
      </w:r>
    </w:p>
    <w:p w14:paraId="76C3D91E" w14:textId="7E3204C2" w:rsidR="008A7E8B" w:rsidRPr="008A7E8B" w:rsidRDefault="008A7E8B" w:rsidP="008A7E8B">
      <w:pPr>
        <w:pStyle w:val="E-JournalBody"/>
        <w:ind w:left="567" w:hanging="567"/>
      </w:pPr>
      <w:r w:rsidRPr="008A7E8B">
        <w:t xml:space="preserve">Cole, M., Cohen, C., Wilhelm, J., &amp; Lindell, R. (2018). Spatial thinking in astronomy education research. </w:t>
      </w:r>
      <w:r w:rsidRPr="008A7E8B">
        <w:rPr>
          <w:i/>
          <w:iCs/>
        </w:rPr>
        <w:t>Physical Review Physics Education Research, 14</w:t>
      </w:r>
      <w:r w:rsidRPr="008A7E8B">
        <w:t xml:space="preserve">(1), 10139. </w:t>
      </w:r>
      <w:r>
        <w:fldChar w:fldCharType="begin"/>
      </w:r>
      <w:r>
        <w:instrText>HYPERLINK "</w:instrText>
      </w:r>
      <w:r w:rsidRPr="008A7E8B">
        <w:instrText>https://doi.org/10.1103/PhysRevPhysEducRes.14.010139</w:instrText>
      </w:r>
      <w:r>
        <w:instrText>"</w:instrText>
      </w:r>
      <w:r>
        <w:fldChar w:fldCharType="separate"/>
      </w:r>
      <w:r w:rsidRPr="008A7E8B">
        <w:rPr>
          <w:rStyle w:val="Hyperlink"/>
        </w:rPr>
        <w:t>https://doi.org/10.1103/PhysRevPhysEducRes.14.010139</w:t>
      </w:r>
      <w:r>
        <w:fldChar w:fldCharType="end"/>
      </w:r>
      <w:r>
        <w:t xml:space="preserve"> </w:t>
      </w:r>
    </w:p>
    <w:p w14:paraId="526D4DE2" w14:textId="23B1C15D" w:rsidR="008A7E8B" w:rsidRPr="008A7E8B" w:rsidRDefault="008A7E8B" w:rsidP="008A7E8B">
      <w:pPr>
        <w:pStyle w:val="E-JournalBody"/>
        <w:ind w:left="567" w:hanging="567"/>
      </w:pPr>
      <w:r w:rsidRPr="008A7E8B">
        <w:t xml:space="preserve">Craig, S. L., Gardiner, T., Eaton, A. D., Pang, N., &amp; Kourgiantakis, T. (2021). Practicing alliance: an experiential model of teaching diversity and inclusion for social work practice and education. </w:t>
      </w:r>
      <w:r w:rsidRPr="008A7E8B">
        <w:rPr>
          <w:i/>
          <w:iCs/>
        </w:rPr>
        <w:t>Social Work Education, 00</w:t>
      </w:r>
      <w:r w:rsidRPr="008A7E8B">
        <w:t xml:space="preserve">(00), 1–19. </w:t>
      </w:r>
      <w:r>
        <w:fldChar w:fldCharType="begin"/>
      </w:r>
      <w:r>
        <w:instrText>HYPERLINK "</w:instrText>
      </w:r>
      <w:r w:rsidRPr="008A7E8B">
        <w:instrText>https://doi.org/10.1080/02615479.2021.1892054</w:instrText>
      </w:r>
      <w:r>
        <w:instrText>"</w:instrText>
      </w:r>
      <w:r>
        <w:fldChar w:fldCharType="separate"/>
      </w:r>
      <w:r w:rsidRPr="008A7E8B">
        <w:rPr>
          <w:rStyle w:val="Hyperlink"/>
        </w:rPr>
        <w:t>https://doi.org/10.1080/02615479.2021.1892054</w:t>
      </w:r>
      <w:r>
        <w:fldChar w:fldCharType="end"/>
      </w:r>
      <w:r>
        <w:t xml:space="preserve"> </w:t>
      </w:r>
    </w:p>
    <w:p w14:paraId="4651A5DA" w14:textId="144EEA2C" w:rsidR="008A7E8B" w:rsidRPr="008A7E8B" w:rsidRDefault="008A7E8B" w:rsidP="008A7E8B">
      <w:pPr>
        <w:pStyle w:val="E-JournalBody"/>
        <w:ind w:left="567" w:hanging="567"/>
      </w:pPr>
      <w:r w:rsidRPr="008A7E8B">
        <w:t xml:space="preserve">Daniel, E. (2016). The usefulness of qualitative and quantitative approaches and methods in researching problem-solving ability in science education curriculum. </w:t>
      </w:r>
      <w:r w:rsidRPr="008A7E8B">
        <w:rPr>
          <w:i/>
          <w:iCs/>
        </w:rPr>
        <w:t>Journal of Education and Practice, 7</w:t>
      </w:r>
      <w:r w:rsidRPr="008A7E8B">
        <w:t xml:space="preserve">(15), 91–100. </w:t>
      </w:r>
      <w:r>
        <w:fldChar w:fldCharType="begin"/>
      </w:r>
      <w:r>
        <w:instrText>HYPERLINK "</w:instrText>
      </w:r>
      <w:r w:rsidRPr="008A7E8B">
        <w:instrText>https://doi.org/2222-288X</w:instrText>
      </w:r>
      <w:r>
        <w:instrText>"</w:instrText>
      </w:r>
      <w:r>
        <w:fldChar w:fldCharType="separate"/>
      </w:r>
      <w:r w:rsidRPr="008A7E8B">
        <w:rPr>
          <w:rStyle w:val="Hyperlink"/>
        </w:rPr>
        <w:t>https://doi.org/2222-288X</w:t>
      </w:r>
      <w:r>
        <w:fldChar w:fldCharType="end"/>
      </w:r>
      <w:r>
        <w:t xml:space="preserve"> </w:t>
      </w:r>
    </w:p>
    <w:p w14:paraId="14374665" w14:textId="39DE8F55" w:rsidR="008A7E8B" w:rsidRDefault="008A7E8B" w:rsidP="008A7E8B">
      <w:pPr>
        <w:pStyle w:val="E-JournalBody"/>
        <w:ind w:left="567" w:hanging="567"/>
      </w:pPr>
      <w:r w:rsidRPr="008E74D2">
        <w:t>Della Purba, R. E., &amp; Kohlhoff, P. (2022). The influence of problem based learning models and metacognition knowledge on students mathematics learning outcomes. </w:t>
      </w:r>
      <w:r w:rsidRPr="008E74D2">
        <w:rPr>
          <w:i/>
          <w:iCs/>
        </w:rPr>
        <w:t>Tekno-Pedagogi: Jurnal Teknologi Pendidikan</w:t>
      </w:r>
      <w:r w:rsidRPr="008E74D2">
        <w:t>, </w:t>
      </w:r>
      <w:r w:rsidRPr="008E74D2">
        <w:rPr>
          <w:i/>
          <w:iCs/>
        </w:rPr>
        <w:t>12</w:t>
      </w:r>
      <w:r w:rsidRPr="008E74D2">
        <w:t>(1), 1-9.</w:t>
      </w:r>
      <w:r>
        <w:t xml:space="preserve"> </w:t>
      </w:r>
      <w:hyperlink r:id="rId25" w:history="1">
        <w:r w:rsidRPr="008E74D2">
          <w:rPr>
            <w:rStyle w:val="Hyperlink"/>
          </w:rPr>
          <w:t>https://doi.org/10.22437/teknopedagogi.v12i1.32490</w:t>
        </w:r>
      </w:hyperlink>
    </w:p>
    <w:p w14:paraId="4554725D" w14:textId="2E447B34" w:rsidR="008A7E8B" w:rsidRPr="008A7E8B" w:rsidRDefault="008A7E8B" w:rsidP="008A7E8B">
      <w:pPr>
        <w:pStyle w:val="E-JournalBody"/>
        <w:ind w:left="567" w:hanging="567"/>
      </w:pPr>
      <w:r w:rsidRPr="008A7E8B">
        <w:t xml:space="preserve">Dias, Á., Silva, G. M., Patuleia, M., &amp; González-Rodríguez, M. R. (2021). Transforming local knowledge into lifestyle entrepreneur’s innovativeness: exploring the linear and quadratic relationships. </w:t>
      </w:r>
      <w:r w:rsidRPr="008A7E8B">
        <w:rPr>
          <w:i/>
          <w:iCs/>
        </w:rPr>
        <w:t>Current Issues in Tourism, 24</w:t>
      </w:r>
      <w:r w:rsidRPr="008A7E8B">
        <w:t xml:space="preserve">(22), 3222–3238. </w:t>
      </w:r>
      <w:r>
        <w:fldChar w:fldCharType="begin"/>
      </w:r>
      <w:r>
        <w:instrText>HYPERLINK "</w:instrText>
      </w:r>
      <w:r w:rsidRPr="008A7E8B">
        <w:instrText>https://doi.org/10.1080/13683500.2020.1865288</w:instrText>
      </w:r>
      <w:r>
        <w:instrText>"</w:instrText>
      </w:r>
      <w:r>
        <w:fldChar w:fldCharType="separate"/>
      </w:r>
      <w:r w:rsidRPr="008A7E8B">
        <w:rPr>
          <w:rStyle w:val="Hyperlink"/>
        </w:rPr>
        <w:t>https://doi.org/10.1080/13683500.2020.1865288</w:t>
      </w:r>
      <w:r>
        <w:fldChar w:fldCharType="end"/>
      </w:r>
      <w:r>
        <w:t xml:space="preserve"> </w:t>
      </w:r>
    </w:p>
    <w:p w14:paraId="53B42F47" w14:textId="31DAE0ED" w:rsidR="008A7E8B" w:rsidRPr="008A7E8B" w:rsidRDefault="008A7E8B" w:rsidP="008A7E8B">
      <w:pPr>
        <w:pStyle w:val="E-JournalBody"/>
        <w:ind w:left="567" w:hanging="567"/>
      </w:pPr>
      <w:r w:rsidRPr="008A7E8B">
        <w:t xml:space="preserve">Dierks, P. O., Höffler, T. N., Blankenburg, J. S., Peters, H., &amp; Parchmann, I. (2016). Interest in science: a RIASEC-based analysis of students’ interests. </w:t>
      </w:r>
      <w:r w:rsidRPr="008A7E8B">
        <w:rPr>
          <w:i/>
          <w:iCs/>
        </w:rPr>
        <w:t>International Journal of Science Education, 38</w:t>
      </w:r>
      <w:r w:rsidRPr="008A7E8B">
        <w:t xml:space="preserve">(2), 238–258. </w:t>
      </w:r>
      <w:r>
        <w:fldChar w:fldCharType="begin"/>
      </w:r>
      <w:r>
        <w:instrText>HYPERLINK "</w:instrText>
      </w:r>
      <w:r w:rsidRPr="008A7E8B">
        <w:instrText>https://doi.org/10.1080/09500693.2016.1138337</w:instrText>
      </w:r>
      <w:r>
        <w:instrText>"</w:instrText>
      </w:r>
      <w:r>
        <w:fldChar w:fldCharType="separate"/>
      </w:r>
      <w:r w:rsidRPr="008A7E8B">
        <w:rPr>
          <w:rStyle w:val="Hyperlink"/>
        </w:rPr>
        <w:t>https://doi.org/10.1080/09500693.2016.1138337</w:t>
      </w:r>
      <w:r>
        <w:fldChar w:fldCharType="end"/>
      </w:r>
      <w:r>
        <w:t xml:space="preserve"> </w:t>
      </w:r>
    </w:p>
    <w:p w14:paraId="42869A4C" w14:textId="61BC7C3E" w:rsidR="008A7E8B" w:rsidRPr="008A7E8B" w:rsidRDefault="008A7E8B" w:rsidP="008A7E8B">
      <w:pPr>
        <w:pStyle w:val="E-JournalBody"/>
        <w:ind w:left="567" w:hanging="567"/>
      </w:pPr>
      <w:r w:rsidRPr="008A7E8B">
        <w:t xml:space="preserve">Everingham, Y. L., Gyuris, E., &amp; Connolly, S. R. (2017). Enhancing student engagement to positively impact mathematics anxiety, confidence and achievement for interdisciplinary science subjects. </w:t>
      </w:r>
      <w:r w:rsidRPr="008A7E8B">
        <w:rPr>
          <w:i/>
          <w:iCs/>
        </w:rPr>
        <w:t>International Journal of Mathematical Education in Science and Technology, 48</w:t>
      </w:r>
      <w:r w:rsidRPr="008A7E8B">
        <w:t xml:space="preserve">(8), 1153–1165. </w:t>
      </w:r>
      <w:r>
        <w:fldChar w:fldCharType="begin"/>
      </w:r>
      <w:r>
        <w:instrText>HYPERLINK "</w:instrText>
      </w:r>
      <w:r w:rsidRPr="008A7E8B">
        <w:instrText>https://doi.org/10.1080/0020739X.2017.1305130</w:instrText>
      </w:r>
      <w:r>
        <w:instrText>"</w:instrText>
      </w:r>
      <w:r>
        <w:fldChar w:fldCharType="separate"/>
      </w:r>
      <w:r w:rsidRPr="008A7E8B">
        <w:rPr>
          <w:rStyle w:val="Hyperlink"/>
        </w:rPr>
        <w:t>https://doi.org/10.1080/0020739X.2017.1305130</w:t>
      </w:r>
      <w:r>
        <w:fldChar w:fldCharType="end"/>
      </w:r>
      <w:r>
        <w:t xml:space="preserve"> </w:t>
      </w:r>
    </w:p>
    <w:p w14:paraId="580B3A14" w14:textId="1EA95F53" w:rsidR="008A7E8B" w:rsidRDefault="008A7E8B" w:rsidP="008A7E8B">
      <w:pPr>
        <w:pStyle w:val="E-JournalBody"/>
        <w:ind w:left="567" w:hanging="567"/>
      </w:pPr>
      <w:r w:rsidRPr="00C105DB">
        <w:t>Fitriana, H., &amp; Waswa, A. N. (2024). The influence of a realistic mathematics education approach on students’ mathematical problem solving ability. </w:t>
      </w:r>
      <w:r w:rsidRPr="00C105DB">
        <w:rPr>
          <w:i/>
          <w:iCs/>
        </w:rPr>
        <w:t>Interval: Indonesian Journal of Mathematical Education</w:t>
      </w:r>
      <w:r w:rsidRPr="00C105DB">
        <w:t>, </w:t>
      </w:r>
      <w:r w:rsidRPr="00C105DB">
        <w:rPr>
          <w:i/>
          <w:iCs/>
        </w:rPr>
        <w:t>2</w:t>
      </w:r>
      <w:r w:rsidRPr="00C105DB">
        <w:t xml:space="preserve">(1), 29-35. </w:t>
      </w:r>
      <w:r>
        <w:fldChar w:fldCharType="begin"/>
      </w:r>
      <w:r>
        <w:instrText>HYPERLINK "</w:instrText>
      </w:r>
      <w:r w:rsidRPr="00C105DB">
        <w:instrText>https://doi.org/10.37251/ijome.v2i1.979</w:instrText>
      </w:r>
      <w:r>
        <w:instrText>"</w:instrText>
      </w:r>
      <w:r>
        <w:fldChar w:fldCharType="separate"/>
      </w:r>
      <w:r w:rsidRPr="006A2E97">
        <w:rPr>
          <w:rStyle w:val="Hyperlink"/>
        </w:rPr>
        <w:t>https://doi.org/10.37251/ijome.v2i1.979</w:t>
      </w:r>
      <w:r>
        <w:fldChar w:fldCharType="end"/>
      </w:r>
    </w:p>
    <w:p w14:paraId="40DA37D7" w14:textId="0D718BC2" w:rsidR="008A7E8B" w:rsidRPr="008A7E8B" w:rsidRDefault="008A7E8B" w:rsidP="008A7E8B">
      <w:pPr>
        <w:pStyle w:val="E-JournalBody"/>
        <w:ind w:left="567" w:hanging="567"/>
      </w:pPr>
      <w:r w:rsidRPr="008A7E8B">
        <w:t xml:space="preserve">Gersch, I. (2018). Traces of foreign retailers–local knowledge-spillovers and strategy adaption within retail internationalization. </w:t>
      </w:r>
      <w:r w:rsidRPr="008A7E8B">
        <w:rPr>
          <w:i/>
          <w:iCs/>
        </w:rPr>
        <w:t>International Review of Retail, Distribution and Consumer Research, 28</w:t>
      </w:r>
      <w:r w:rsidRPr="008A7E8B">
        <w:t xml:space="preserve">(5), 455–471. </w:t>
      </w:r>
      <w:r>
        <w:fldChar w:fldCharType="begin"/>
      </w:r>
      <w:r>
        <w:instrText>HYPERLINK "</w:instrText>
      </w:r>
      <w:r w:rsidRPr="008A7E8B">
        <w:instrText>https://doi.org/10.1080/09593969.2018.1525756</w:instrText>
      </w:r>
      <w:r>
        <w:instrText>"</w:instrText>
      </w:r>
      <w:r>
        <w:fldChar w:fldCharType="separate"/>
      </w:r>
      <w:r w:rsidRPr="008A7E8B">
        <w:rPr>
          <w:rStyle w:val="Hyperlink"/>
        </w:rPr>
        <w:t>https://doi.org/10.1080/09593969.2018.1525756</w:t>
      </w:r>
      <w:r>
        <w:fldChar w:fldCharType="end"/>
      </w:r>
      <w:r>
        <w:t xml:space="preserve"> </w:t>
      </w:r>
    </w:p>
    <w:p w14:paraId="0E9D11F8" w14:textId="3F96B3C6" w:rsidR="008A7E8B" w:rsidRPr="008A7E8B" w:rsidRDefault="008A7E8B" w:rsidP="008A7E8B">
      <w:pPr>
        <w:pStyle w:val="E-JournalBody"/>
        <w:ind w:left="567" w:hanging="567"/>
      </w:pPr>
      <w:r w:rsidRPr="008A7E8B">
        <w:t xml:space="preserve">Ghavifekr, S., &amp; Rosdy, W. A. W. (2015). Teaching and learning with technology: Effectiveness of ICT integration in schools. </w:t>
      </w:r>
      <w:r w:rsidRPr="008A7E8B">
        <w:rPr>
          <w:i/>
          <w:iCs/>
        </w:rPr>
        <w:t>International Journal of Research in Education and Science, 1</w:t>
      </w:r>
      <w:r w:rsidRPr="008A7E8B">
        <w:t xml:space="preserve">(2), 175–191. </w:t>
      </w:r>
      <w:r>
        <w:fldChar w:fldCharType="begin"/>
      </w:r>
      <w:r>
        <w:instrText>HYPERLINK "</w:instrText>
      </w:r>
      <w:r w:rsidRPr="008A7E8B">
        <w:instrText>https://doi.org/10.21890/ijres.23596</w:instrText>
      </w:r>
      <w:r>
        <w:instrText>"</w:instrText>
      </w:r>
      <w:r>
        <w:fldChar w:fldCharType="separate"/>
      </w:r>
      <w:r w:rsidRPr="008A7E8B">
        <w:rPr>
          <w:rStyle w:val="Hyperlink"/>
        </w:rPr>
        <w:t>https://doi.org/10.21890/ijres.23596</w:t>
      </w:r>
      <w:r>
        <w:fldChar w:fldCharType="end"/>
      </w:r>
      <w:r>
        <w:t xml:space="preserve"> </w:t>
      </w:r>
    </w:p>
    <w:p w14:paraId="3AC708EC" w14:textId="0894E624" w:rsidR="008A7E8B" w:rsidRPr="008A7E8B" w:rsidRDefault="008A7E8B" w:rsidP="008A7E8B">
      <w:pPr>
        <w:pStyle w:val="E-JournalBody"/>
        <w:ind w:left="567" w:hanging="567"/>
      </w:pPr>
      <w:r w:rsidRPr="008A7E8B">
        <w:t xml:space="preserve">Gürsoy, G. (2021). Digital storytelling: Developing 21st century skills in science education. </w:t>
      </w:r>
      <w:r w:rsidRPr="008A7E8B">
        <w:rPr>
          <w:i/>
          <w:iCs/>
        </w:rPr>
        <w:t>European Journal of Educational Research, 10</w:t>
      </w:r>
      <w:r w:rsidRPr="008A7E8B">
        <w:t xml:space="preserve">(1), 97–113. </w:t>
      </w:r>
      <w:r>
        <w:fldChar w:fldCharType="begin"/>
      </w:r>
      <w:r>
        <w:instrText>HYPERLINK "</w:instrText>
      </w:r>
      <w:r w:rsidRPr="008A7E8B">
        <w:instrText>https://doi.org/10.12973/EU-JER.10.1.97</w:instrText>
      </w:r>
      <w:r>
        <w:instrText>"</w:instrText>
      </w:r>
      <w:r>
        <w:fldChar w:fldCharType="separate"/>
      </w:r>
      <w:r w:rsidRPr="008A7E8B">
        <w:rPr>
          <w:rStyle w:val="Hyperlink"/>
        </w:rPr>
        <w:t>https://doi.org/10.12973/EU-JER.10.1.97</w:t>
      </w:r>
      <w:r>
        <w:fldChar w:fldCharType="end"/>
      </w:r>
      <w:r>
        <w:t xml:space="preserve"> </w:t>
      </w:r>
    </w:p>
    <w:p w14:paraId="00AE178F" w14:textId="6349D1E2" w:rsidR="008A7E8B" w:rsidRPr="008A7E8B" w:rsidRDefault="008A7E8B" w:rsidP="008A7E8B">
      <w:pPr>
        <w:pStyle w:val="E-JournalBody"/>
        <w:ind w:left="567" w:hanging="567"/>
      </w:pPr>
      <w:r w:rsidRPr="008A7E8B">
        <w:t xml:space="preserve">Hidayati, N. A., Waluyo, H. J., Winarni, R., &amp; Suyitno. (2020). Exploring the implementation of local wisdom-based character education among indonesian higher education students. </w:t>
      </w:r>
      <w:r w:rsidRPr="008A7E8B">
        <w:rPr>
          <w:i/>
          <w:iCs/>
        </w:rPr>
        <w:t>International Journal of Instruction, 13</w:t>
      </w:r>
      <w:r w:rsidRPr="008A7E8B">
        <w:t xml:space="preserve">(2), 179–198. </w:t>
      </w:r>
      <w:r>
        <w:fldChar w:fldCharType="begin"/>
      </w:r>
      <w:r>
        <w:instrText>HYPERLINK "</w:instrText>
      </w:r>
      <w:r w:rsidRPr="008A7E8B">
        <w:instrText>https://doi.org/10.29333/iji.2020.13213a</w:instrText>
      </w:r>
      <w:r>
        <w:instrText>"</w:instrText>
      </w:r>
      <w:r>
        <w:fldChar w:fldCharType="separate"/>
      </w:r>
      <w:r w:rsidRPr="008A7E8B">
        <w:rPr>
          <w:rStyle w:val="Hyperlink"/>
        </w:rPr>
        <w:t>https://doi.org/10.29333/iji.2020.13213a</w:t>
      </w:r>
      <w:r>
        <w:fldChar w:fldCharType="end"/>
      </w:r>
      <w:r>
        <w:t xml:space="preserve"> </w:t>
      </w:r>
    </w:p>
    <w:p w14:paraId="31CA89EA" w14:textId="55B468D5" w:rsidR="008A7E8B" w:rsidRPr="008A7E8B" w:rsidRDefault="008A7E8B" w:rsidP="008A7E8B">
      <w:pPr>
        <w:pStyle w:val="E-JournalBody"/>
        <w:ind w:left="567" w:hanging="567"/>
      </w:pPr>
      <w:r w:rsidRPr="008A7E8B">
        <w:t xml:space="preserve">Kjeldsen, K. (2019). A study-of-religion(S)-based religion education: Skills, knowledge, and aims. </w:t>
      </w:r>
      <w:r w:rsidRPr="008A7E8B">
        <w:rPr>
          <w:i/>
          <w:iCs/>
        </w:rPr>
        <w:t>Center for Educational Policy Studies Journal, 9</w:t>
      </w:r>
      <w:r w:rsidRPr="008A7E8B">
        <w:t xml:space="preserve">(4), 11–29. </w:t>
      </w:r>
      <w:r>
        <w:fldChar w:fldCharType="begin"/>
      </w:r>
      <w:r>
        <w:instrText>HYPERLINK "</w:instrText>
      </w:r>
      <w:r w:rsidRPr="008A7E8B">
        <w:instrText>https://doi.org/10.26529/cepsj.678</w:instrText>
      </w:r>
      <w:r>
        <w:instrText>"</w:instrText>
      </w:r>
      <w:r>
        <w:fldChar w:fldCharType="separate"/>
      </w:r>
      <w:r w:rsidRPr="008A7E8B">
        <w:rPr>
          <w:rStyle w:val="Hyperlink"/>
        </w:rPr>
        <w:t>https://doi.org/10.26529/cepsj.678</w:t>
      </w:r>
      <w:r>
        <w:fldChar w:fldCharType="end"/>
      </w:r>
      <w:r>
        <w:t xml:space="preserve"> </w:t>
      </w:r>
    </w:p>
    <w:p w14:paraId="42199BFE" w14:textId="417A833E" w:rsidR="008A7E8B" w:rsidRPr="008A7E8B" w:rsidRDefault="008A7E8B" w:rsidP="008A7E8B">
      <w:pPr>
        <w:pStyle w:val="E-JournalBody"/>
        <w:ind w:left="567" w:hanging="567"/>
      </w:pPr>
      <w:r w:rsidRPr="008A7E8B">
        <w:t xml:space="preserve">Kleij, F. M. van der. (2019). Comparison of teacher and student perceptions of formative assessment feedback practices and association with individual student characteristics. </w:t>
      </w:r>
      <w:r w:rsidRPr="008A7E8B">
        <w:rPr>
          <w:i/>
          <w:iCs/>
        </w:rPr>
        <w:t>Teaching and Teacher Education, 85</w:t>
      </w:r>
      <w:r w:rsidRPr="008A7E8B">
        <w:t xml:space="preserve">, 175–189. </w:t>
      </w:r>
      <w:r>
        <w:fldChar w:fldCharType="begin"/>
      </w:r>
      <w:r>
        <w:instrText>HYPERLINK "</w:instrText>
      </w:r>
      <w:r w:rsidRPr="008A7E8B">
        <w:instrText>https://doi.org/10.1016/j.tate.2019.06.010</w:instrText>
      </w:r>
      <w:r>
        <w:instrText>"</w:instrText>
      </w:r>
      <w:r>
        <w:fldChar w:fldCharType="separate"/>
      </w:r>
      <w:r w:rsidRPr="008A7E8B">
        <w:rPr>
          <w:rStyle w:val="Hyperlink"/>
        </w:rPr>
        <w:t>https://doi.org/10.1016/j.tate.2019.06.010</w:t>
      </w:r>
      <w:r>
        <w:fldChar w:fldCharType="end"/>
      </w:r>
      <w:r>
        <w:t xml:space="preserve"> </w:t>
      </w:r>
    </w:p>
    <w:p w14:paraId="6B823746" w14:textId="0AEDCA32" w:rsidR="008A7E8B" w:rsidRPr="008A7E8B" w:rsidRDefault="008A7E8B" w:rsidP="008A7E8B">
      <w:pPr>
        <w:pStyle w:val="E-JournalBody"/>
        <w:ind w:left="567" w:hanging="567"/>
      </w:pPr>
      <w:r w:rsidRPr="008A7E8B">
        <w:t xml:space="preserve">Kuhfeld, M., &amp; Soland, J. (2021). The </w:t>
      </w:r>
      <w:r>
        <w:t>l</w:t>
      </w:r>
      <w:r w:rsidRPr="008A7E8B">
        <w:t xml:space="preserve">earning </w:t>
      </w:r>
      <w:r>
        <w:t>c</w:t>
      </w:r>
      <w:r w:rsidRPr="008A7E8B">
        <w:t xml:space="preserve">urve: Revisiting the assumption of linear growth during the school year. </w:t>
      </w:r>
      <w:r w:rsidRPr="008A7E8B">
        <w:rPr>
          <w:i/>
          <w:iCs/>
        </w:rPr>
        <w:t>Journal of Research on Educational Effectiveness, 14</w:t>
      </w:r>
      <w:r w:rsidRPr="008A7E8B">
        <w:t xml:space="preserve">(1), 143–171. </w:t>
      </w:r>
      <w:r>
        <w:fldChar w:fldCharType="begin"/>
      </w:r>
      <w:r>
        <w:instrText>HYPERLINK "</w:instrText>
      </w:r>
      <w:r w:rsidRPr="008A7E8B">
        <w:instrText>https://doi.org/10.1080/19345747.2020.1839990</w:instrText>
      </w:r>
      <w:r>
        <w:instrText>"</w:instrText>
      </w:r>
      <w:r>
        <w:fldChar w:fldCharType="separate"/>
      </w:r>
      <w:r w:rsidRPr="008A7E8B">
        <w:rPr>
          <w:rStyle w:val="Hyperlink"/>
        </w:rPr>
        <w:t>https://doi.org/10.1080/19345747.2020.1839990</w:t>
      </w:r>
      <w:r>
        <w:fldChar w:fldCharType="end"/>
      </w:r>
      <w:r>
        <w:t xml:space="preserve"> </w:t>
      </w:r>
    </w:p>
    <w:p w14:paraId="7D8F7269" w14:textId="66E23063" w:rsidR="008A7E8B" w:rsidRPr="008A7E8B" w:rsidRDefault="008A7E8B" w:rsidP="008A7E8B">
      <w:pPr>
        <w:pStyle w:val="E-JournalBody"/>
        <w:ind w:left="567" w:hanging="567"/>
      </w:pPr>
      <w:r w:rsidRPr="008A7E8B">
        <w:t xml:space="preserve">Lavega, P., Prat, Q., De Ocáriz, U. S., Serna, J., &amp; Muñoz-Arroyave, V. (2018). Aprendizaje basado en la reflexión sobre la acción a través de los juegos tradicionales. El caso de la pelota sentada. </w:t>
      </w:r>
      <w:r w:rsidRPr="008A7E8B">
        <w:rPr>
          <w:i/>
          <w:iCs/>
        </w:rPr>
        <w:t>Cultura y Educacion, 30</w:t>
      </w:r>
      <w:r w:rsidRPr="008A7E8B">
        <w:t xml:space="preserve">(1), 142–176. </w:t>
      </w:r>
      <w:r>
        <w:fldChar w:fldCharType="begin"/>
      </w:r>
      <w:r>
        <w:instrText>HYPERLINK "</w:instrText>
      </w:r>
      <w:r w:rsidRPr="008A7E8B">
        <w:instrText>https://doi.org/10.1080/11356405.2017.1421302</w:instrText>
      </w:r>
      <w:r>
        <w:instrText>"</w:instrText>
      </w:r>
      <w:r>
        <w:fldChar w:fldCharType="separate"/>
      </w:r>
      <w:r w:rsidRPr="008A7E8B">
        <w:rPr>
          <w:rStyle w:val="Hyperlink"/>
        </w:rPr>
        <w:t>https://doi.org/10.1080/11356405.2017.1421302</w:t>
      </w:r>
      <w:r>
        <w:fldChar w:fldCharType="end"/>
      </w:r>
      <w:r>
        <w:t xml:space="preserve"> </w:t>
      </w:r>
    </w:p>
    <w:p w14:paraId="2DD2B4A1" w14:textId="7AD82DA9" w:rsidR="008A7E8B" w:rsidRDefault="008A7E8B" w:rsidP="008A7E8B">
      <w:pPr>
        <w:pStyle w:val="E-JournalBody"/>
        <w:ind w:left="567" w:hanging="567"/>
      </w:pPr>
      <w:proofErr w:type="spellStart"/>
      <w:r w:rsidRPr="008A7E8B">
        <w:rPr>
          <w:lang w:val="en-US"/>
        </w:rPr>
        <w:t>Leekhot</w:t>
      </w:r>
      <w:proofErr w:type="spellEnd"/>
      <w:r w:rsidRPr="008A7E8B">
        <w:rPr>
          <w:lang w:val="en-US"/>
        </w:rPr>
        <w:t xml:space="preserve">, K., </w:t>
      </w:r>
      <w:proofErr w:type="spellStart"/>
      <w:r w:rsidRPr="008A7E8B">
        <w:rPr>
          <w:lang w:val="en-US"/>
        </w:rPr>
        <w:t>Payougkiattikun</w:t>
      </w:r>
      <w:proofErr w:type="spellEnd"/>
      <w:r w:rsidRPr="008A7E8B">
        <w:rPr>
          <w:lang w:val="en-US"/>
        </w:rPr>
        <w:t xml:space="preserve">, W., &amp; Thongsuk, T. (2024). The results of </w:t>
      </w:r>
      <w:r>
        <w:rPr>
          <w:lang w:val="en-US"/>
        </w:rPr>
        <w:t>I</w:t>
      </w:r>
      <w:r w:rsidRPr="008A7E8B">
        <w:rPr>
          <w:lang w:val="en-US"/>
        </w:rPr>
        <w:t>nquiry-</w:t>
      </w:r>
      <w:r>
        <w:rPr>
          <w:lang w:val="en-US"/>
        </w:rPr>
        <w:t>B</w:t>
      </w:r>
      <w:r w:rsidRPr="008A7E8B">
        <w:rPr>
          <w:lang w:val="en-US"/>
        </w:rPr>
        <w:t>ased learning management on critical thinking and academic achievement of grade-8 students. </w:t>
      </w:r>
      <w:r w:rsidRPr="008A7E8B">
        <w:rPr>
          <w:i/>
          <w:iCs/>
          <w:lang w:val="en-US"/>
        </w:rPr>
        <w:t>Integrated Science Education Journal</w:t>
      </w:r>
      <w:r w:rsidRPr="008A7E8B">
        <w:rPr>
          <w:lang w:val="en-US"/>
        </w:rPr>
        <w:t>, </w:t>
      </w:r>
      <w:r w:rsidRPr="008A7E8B">
        <w:rPr>
          <w:i/>
          <w:iCs/>
          <w:lang w:val="en-US"/>
        </w:rPr>
        <w:t>5</w:t>
      </w:r>
      <w:r w:rsidRPr="008A7E8B">
        <w:rPr>
          <w:lang w:val="en-US"/>
        </w:rPr>
        <w:t xml:space="preserve">(3), 161-167. </w:t>
      </w:r>
      <w:hyperlink r:id="rId26" w:history="1">
        <w:r w:rsidRPr="008A7E8B">
          <w:rPr>
            <w:rStyle w:val="Hyperlink"/>
            <w:lang w:val="en-US"/>
          </w:rPr>
          <w:t>https://doi.org/10.37251/isej.v5i3.901</w:t>
        </w:r>
      </w:hyperlink>
    </w:p>
    <w:p w14:paraId="03251B43" w14:textId="631B6A87" w:rsidR="008A7E8B" w:rsidRPr="008A7E8B" w:rsidRDefault="008A7E8B" w:rsidP="008A7E8B">
      <w:pPr>
        <w:pStyle w:val="E-JournalBody"/>
        <w:ind w:left="567" w:hanging="567"/>
      </w:pPr>
      <w:r w:rsidRPr="008A7E8B">
        <w:t xml:space="preserve">Li, G., &amp; Dong, Y. (2019). Dynamic modelling of the impact of public health education on the control of emerging infectious disease. </w:t>
      </w:r>
      <w:r w:rsidRPr="008A7E8B">
        <w:rPr>
          <w:i/>
          <w:iCs/>
        </w:rPr>
        <w:t>Journal of Biological Dynamics, 13</w:t>
      </w:r>
      <w:r w:rsidRPr="008A7E8B">
        <w:t xml:space="preserve">(1), 502–517. </w:t>
      </w:r>
      <w:r>
        <w:fldChar w:fldCharType="begin"/>
      </w:r>
      <w:r>
        <w:instrText>HYPERLINK "</w:instrText>
      </w:r>
      <w:r w:rsidRPr="008A7E8B">
        <w:instrText>https://doi.org/10.1080/17513758.2019.1639835</w:instrText>
      </w:r>
      <w:r>
        <w:instrText>"</w:instrText>
      </w:r>
      <w:r>
        <w:fldChar w:fldCharType="separate"/>
      </w:r>
      <w:r w:rsidRPr="008A7E8B">
        <w:rPr>
          <w:rStyle w:val="Hyperlink"/>
        </w:rPr>
        <w:t>https://doi.org/10.1080/17513758.2019.1639835</w:t>
      </w:r>
      <w:r>
        <w:fldChar w:fldCharType="end"/>
      </w:r>
      <w:r>
        <w:t xml:space="preserve"> </w:t>
      </w:r>
    </w:p>
    <w:p w14:paraId="41938938" w14:textId="21764953" w:rsidR="008A7E8B" w:rsidRPr="008A7E8B" w:rsidRDefault="008A7E8B" w:rsidP="008A7E8B">
      <w:pPr>
        <w:pStyle w:val="E-JournalBody"/>
        <w:ind w:left="567" w:hanging="567"/>
      </w:pPr>
      <w:r w:rsidRPr="008A7E8B">
        <w:t xml:space="preserve">Loudon, G. (2019). Integrating ideas from design disciplines into the STEM curricula. </w:t>
      </w:r>
      <w:r w:rsidRPr="008A7E8B">
        <w:rPr>
          <w:i/>
          <w:iCs/>
        </w:rPr>
        <w:t>Higher Education Pedagogies, 4</w:t>
      </w:r>
      <w:r w:rsidRPr="008A7E8B">
        <w:t xml:space="preserve">(1), 284–286. </w:t>
      </w:r>
      <w:r>
        <w:fldChar w:fldCharType="begin"/>
      </w:r>
      <w:r>
        <w:instrText>HYPERLINK "</w:instrText>
      </w:r>
      <w:r w:rsidRPr="008A7E8B">
        <w:instrText>https://doi.org/10.1080/23752696.2019.1599688</w:instrText>
      </w:r>
      <w:r>
        <w:instrText>"</w:instrText>
      </w:r>
      <w:r>
        <w:fldChar w:fldCharType="separate"/>
      </w:r>
      <w:r w:rsidRPr="008A7E8B">
        <w:rPr>
          <w:rStyle w:val="Hyperlink"/>
        </w:rPr>
        <w:t>https://doi.org/10.1080/23752696.2019.1599688</w:t>
      </w:r>
      <w:r>
        <w:fldChar w:fldCharType="end"/>
      </w:r>
      <w:r>
        <w:t xml:space="preserve"> </w:t>
      </w:r>
    </w:p>
    <w:p w14:paraId="540405CF" w14:textId="766EECE1" w:rsidR="008A7E8B" w:rsidRPr="008A7E8B" w:rsidRDefault="008A7E8B" w:rsidP="008A7E8B">
      <w:pPr>
        <w:pStyle w:val="E-JournalBody"/>
        <w:ind w:left="567" w:hanging="567"/>
      </w:pPr>
      <w:r w:rsidRPr="008A7E8B">
        <w:t xml:space="preserve">Mahanani, F. K. (2017). Operant </w:t>
      </w:r>
      <w:r>
        <w:t>c</w:t>
      </w:r>
      <w:r w:rsidRPr="008A7E8B">
        <w:t xml:space="preserve">onditioning: Shaping danpositive reinforcement contingencies dari perilaku off-task menjadi on-taska. </w:t>
      </w:r>
      <w:r w:rsidRPr="008A7E8B">
        <w:rPr>
          <w:i/>
          <w:iCs/>
        </w:rPr>
        <w:t>Intuisi: Jurnal Psikologi Ilmiah, 9</w:t>
      </w:r>
      <w:r w:rsidRPr="008A7E8B">
        <w:t>(3), 276–289.</w:t>
      </w:r>
    </w:p>
    <w:p w14:paraId="51BBF01D" w14:textId="79DC2C9D" w:rsidR="008A7E8B" w:rsidRDefault="008A7E8B" w:rsidP="008A7E8B">
      <w:pPr>
        <w:pStyle w:val="E-JournalBody"/>
        <w:ind w:left="567" w:hanging="567"/>
      </w:pPr>
      <w:r w:rsidRPr="008E74D2">
        <w:t>Misastri, M., Wirayuda, R. P., &amp; Syarbaini, S. (2023). Application of the team assisted individualization (</w:t>
      </w:r>
      <w:r>
        <w:t>TAI</w:t>
      </w:r>
      <w:r w:rsidRPr="008E74D2">
        <w:t>) learning model in improving understanding of mathematical concepts. </w:t>
      </w:r>
      <w:r w:rsidRPr="008E74D2">
        <w:rPr>
          <w:i/>
          <w:iCs/>
        </w:rPr>
        <w:t>Journal Evaluation in Education (JEE)</w:t>
      </w:r>
      <w:r w:rsidRPr="008E74D2">
        <w:t>, </w:t>
      </w:r>
      <w:r w:rsidRPr="008E74D2">
        <w:rPr>
          <w:i/>
          <w:iCs/>
        </w:rPr>
        <w:t>4</w:t>
      </w:r>
      <w:r w:rsidRPr="008E74D2">
        <w:t xml:space="preserve">(1), 01-07. </w:t>
      </w:r>
      <w:r>
        <w:fldChar w:fldCharType="begin"/>
      </w:r>
      <w:r>
        <w:instrText>HYPERLINK "</w:instrText>
      </w:r>
      <w:r w:rsidRPr="008E74D2">
        <w:instrText>https://doi.org/10.37251/jee.v4i1.308</w:instrText>
      </w:r>
      <w:r>
        <w:instrText>"</w:instrText>
      </w:r>
      <w:r>
        <w:fldChar w:fldCharType="separate"/>
      </w:r>
      <w:r w:rsidRPr="006A2E97">
        <w:rPr>
          <w:rStyle w:val="Hyperlink"/>
        </w:rPr>
        <w:t>https://doi.org/10.37251/jee.v4i1.308</w:t>
      </w:r>
      <w:r>
        <w:fldChar w:fldCharType="end"/>
      </w:r>
    </w:p>
    <w:p w14:paraId="395FA639" w14:textId="3B6FF94E" w:rsidR="008A7E8B" w:rsidRPr="008A7E8B" w:rsidRDefault="008A7E8B" w:rsidP="008A7E8B">
      <w:pPr>
        <w:pStyle w:val="E-JournalBody"/>
        <w:ind w:left="567" w:hanging="567"/>
      </w:pPr>
      <w:r w:rsidRPr="008A7E8B">
        <w:t xml:space="preserve">Molefe, L., &amp; Aubin, J. B. (2021). Exploring how science process skills blend with the scientific process: Pre-service teachers’ views following fieldwork experience. </w:t>
      </w:r>
      <w:r w:rsidRPr="008A7E8B">
        <w:rPr>
          <w:i/>
          <w:iCs/>
        </w:rPr>
        <w:t>South African Journal of Education, 41</w:t>
      </w:r>
      <w:r w:rsidRPr="008A7E8B">
        <w:t xml:space="preserve">(2), 1–13. </w:t>
      </w:r>
      <w:r>
        <w:fldChar w:fldCharType="begin"/>
      </w:r>
      <w:r>
        <w:instrText>HYPERLINK "</w:instrText>
      </w:r>
      <w:r w:rsidRPr="008A7E8B">
        <w:instrText>https://doi.org/10.15700/saje.v41n2a1878</w:instrText>
      </w:r>
      <w:r>
        <w:instrText>"</w:instrText>
      </w:r>
      <w:r>
        <w:fldChar w:fldCharType="separate"/>
      </w:r>
      <w:r w:rsidRPr="008A7E8B">
        <w:rPr>
          <w:rStyle w:val="Hyperlink"/>
        </w:rPr>
        <w:t>https://doi.org/10.15700/saje.v41n2a1878</w:t>
      </w:r>
      <w:r>
        <w:fldChar w:fldCharType="end"/>
      </w:r>
      <w:r>
        <w:t xml:space="preserve"> </w:t>
      </w:r>
    </w:p>
    <w:p w14:paraId="58860BDB" w14:textId="527B381A" w:rsidR="008A7E8B" w:rsidRDefault="008A7E8B" w:rsidP="008A7E8B">
      <w:pPr>
        <w:pStyle w:val="E-JournalBody"/>
        <w:ind w:left="567" w:hanging="567"/>
      </w:pPr>
      <w:proofErr w:type="spellStart"/>
      <w:r w:rsidRPr="008A7E8B">
        <w:rPr>
          <w:lang w:val="en-US"/>
        </w:rPr>
        <w:t>Nuraeni</w:t>
      </w:r>
      <w:proofErr w:type="spellEnd"/>
      <w:r w:rsidRPr="008A7E8B">
        <w:rPr>
          <w:lang w:val="en-US"/>
        </w:rPr>
        <w:t xml:space="preserve">, N., &amp; </w:t>
      </w:r>
      <w:proofErr w:type="spellStart"/>
      <w:r w:rsidRPr="008A7E8B">
        <w:rPr>
          <w:lang w:val="en-US"/>
        </w:rPr>
        <w:t>Inthaud</w:t>
      </w:r>
      <w:proofErr w:type="spellEnd"/>
      <w:r w:rsidRPr="008A7E8B">
        <w:rPr>
          <w:lang w:val="en-US"/>
        </w:rPr>
        <w:t>, K. (2024). The relationship between social attitude and ethics of association with the morals of physics education students. </w:t>
      </w:r>
      <w:proofErr w:type="spellStart"/>
      <w:r w:rsidRPr="008A7E8B">
        <w:rPr>
          <w:i/>
          <w:iCs/>
          <w:lang w:val="en-US"/>
        </w:rPr>
        <w:t>EduFisika</w:t>
      </w:r>
      <w:proofErr w:type="spellEnd"/>
      <w:r w:rsidRPr="008A7E8B">
        <w:rPr>
          <w:i/>
          <w:iCs/>
          <w:lang w:val="en-US"/>
        </w:rPr>
        <w:t xml:space="preserve">: </w:t>
      </w:r>
      <w:proofErr w:type="spellStart"/>
      <w:r w:rsidRPr="008A7E8B">
        <w:rPr>
          <w:i/>
          <w:iCs/>
          <w:lang w:val="en-US"/>
        </w:rPr>
        <w:t>Jurnal</w:t>
      </w:r>
      <w:proofErr w:type="spellEnd"/>
      <w:r w:rsidRPr="008A7E8B">
        <w:rPr>
          <w:i/>
          <w:iCs/>
          <w:lang w:val="en-US"/>
        </w:rPr>
        <w:t xml:space="preserve"> Pendidikan </w:t>
      </w:r>
      <w:proofErr w:type="spellStart"/>
      <w:r w:rsidRPr="008A7E8B">
        <w:rPr>
          <w:i/>
          <w:iCs/>
          <w:lang w:val="en-US"/>
        </w:rPr>
        <w:t>Fisika</w:t>
      </w:r>
      <w:proofErr w:type="spellEnd"/>
      <w:r w:rsidRPr="008A7E8B">
        <w:rPr>
          <w:lang w:val="en-US"/>
        </w:rPr>
        <w:t>, </w:t>
      </w:r>
      <w:r w:rsidRPr="008A7E8B">
        <w:rPr>
          <w:i/>
          <w:iCs/>
          <w:lang w:val="en-US"/>
        </w:rPr>
        <w:t>9</w:t>
      </w:r>
      <w:r w:rsidRPr="008A7E8B">
        <w:rPr>
          <w:lang w:val="en-US"/>
        </w:rPr>
        <w:t xml:space="preserve">(2), 248-259. </w:t>
      </w:r>
      <w:hyperlink r:id="rId27" w:history="1">
        <w:r w:rsidRPr="008A7E8B">
          <w:rPr>
            <w:rStyle w:val="Hyperlink"/>
            <w:lang w:val="en-US"/>
          </w:rPr>
          <w:t>https://doi.org/10.59052/edufisika.v9i2.36934</w:t>
        </w:r>
      </w:hyperlink>
    </w:p>
    <w:p w14:paraId="2578B240" w14:textId="66515064" w:rsidR="008A7E8B" w:rsidRPr="008A7E8B" w:rsidRDefault="008A7E8B" w:rsidP="008A7E8B">
      <w:pPr>
        <w:pStyle w:val="E-JournalBody"/>
        <w:ind w:left="567" w:hanging="567"/>
      </w:pPr>
      <w:r w:rsidRPr="008A7E8B">
        <w:t xml:space="preserve">Nuryadi, N., Kurniawan, L., &amp; Kholifa, I. (2020). Developing mobile learning based on ethnomathematics viewed from adaptive e-learning: Study of two dimensions geometry on Yogyakarta palace’s chariot. </w:t>
      </w:r>
      <w:r w:rsidRPr="008A7E8B">
        <w:rPr>
          <w:i/>
          <w:iCs/>
        </w:rPr>
        <w:t>International Journal of Education and Learning, 2</w:t>
      </w:r>
      <w:r w:rsidRPr="008A7E8B">
        <w:t xml:space="preserve">(1), 32–41. </w:t>
      </w:r>
      <w:hyperlink r:id="rId28" w:history="1">
        <w:r w:rsidRPr="008A7E8B">
          <w:rPr>
            <w:rStyle w:val="Hyperlink"/>
          </w:rPr>
          <w:t>https://doi.org/10.31763/ijele.v2i1.85</w:t>
        </w:r>
      </w:hyperlink>
      <w:r>
        <w:t xml:space="preserve"> </w:t>
      </w:r>
    </w:p>
    <w:p w14:paraId="225AF70D" w14:textId="59D363DE" w:rsidR="008A7E8B" w:rsidRPr="008A7E8B" w:rsidRDefault="008A7E8B" w:rsidP="008A7E8B">
      <w:pPr>
        <w:pStyle w:val="E-JournalBody"/>
        <w:ind w:left="567" w:hanging="567"/>
      </w:pPr>
      <w:r w:rsidRPr="008A7E8B">
        <w:t xml:space="preserve">Palermo, C., King, O., Brock, T., Brown, T., Crampton, P., Hall, H., Macaulay, J., Morphet, J., Mundy, M., Oliaro, L., Paynter, S., Williams, B., Wright, C., &amp; E. Rees, C. (2019). Setting priorities for health education research: A mixed methods study. </w:t>
      </w:r>
      <w:r w:rsidRPr="008A7E8B">
        <w:rPr>
          <w:i/>
          <w:iCs/>
        </w:rPr>
        <w:t>Medical Teacher, 41</w:t>
      </w:r>
      <w:r w:rsidRPr="008A7E8B">
        <w:t xml:space="preserve">(9), 1029–1038. </w:t>
      </w:r>
      <w:hyperlink r:id="rId29" w:history="1">
        <w:r w:rsidRPr="008A7E8B">
          <w:rPr>
            <w:rStyle w:val="Hyperlink"/>
          </w:rPr>
          <w:t>https://doi.org/10.1080/0142159X.2019.1612520</w:t>
        </w:r>
      </w:hyperlink>
      <w:r>
        <w:t xml:space="preserve"> </w:t>
      </w:r>
    </w:p>
    <w:p w14:paraId="16C4713C" w14:textId="0A315863" w:rsidR="008A7E8B" w:rsidRPr="008A7E8B" w:rsidRDefault="008A7E8B" w:rsidP="008A7E8B">
      <w:pPr>
        <w:pStyle w:val="E-JournalBody"/>
        <w:ind w:left="567" w:hanging="567"/>
      </w:pPr>
      <w:r w:rsidRPr="008A7E8B">
        <w:t xml:space="preserve">Papyrina, V., Strebel, J., &amp; Robertson, B. (2021). The student confidence gap: Gender differences in job skill self-efficacy. </w:t>
      </w:r>
      <w:r w:rsidRPr="008A7E8B">
        <w:rPr>
          <w:i/>
          <w:iCs/>
        </w:rPr>
        <w:t>Journal of Education for Business, 96</w:t>
      </w:r>
      <w:r w:rsidRPr="008A7E8B">
        <w:t xml:space="preserve">(2), 89–98. </w:t>
      </w:r>
      <w:hyperlink r:id="rId30" w:history="1">
        <w:r w:rsidRPr="008A7E8B">
          <w:rPr>
            <w:rStyle w:val="Hyperlink"/>
          </w:rPr>
          <w:t>https://doi.org/10.1080/08832323.2020.1757593</w:t>
        </w:r>
      </w:hyperlink>
      <w:r>
        <w:t xml:space="preserve"> </w:t>
      </w:r>
    </w:p>
    <w:p w14:paraId="0938D787" w14:textId="67E31A63" w:rsidR="008A7E8B" w:rsidRPr="008A7E8B" w:rsidRDefault="008A7E8B" w:rsidP="008A7E8B">
      <w:pPr>
        <w:pStyle w:val="E-JournalBody"/>
        <w:ind w:left="567" w:hanging="567"/>
      </w:pPr>
      <w:r w:rsidRPr="008A7E8B">
        <w:t xml:space="preserve">Piercey, V., &amp; Militzer, E. (2017). An Inquiry-Based quantitative reasoning course for business students. </w:t>
      </w:r>
      <w:r w:rsidRPr="008A7E8B">
        <w:rPr>
          <w:i/>
          <w:iCs/>
        </w:rPr>
        <w:t>Primus, 27</w:t>
      </w:r>
      <w:r w:rsidRPr="008A7E8B">
        <w:t xml:space="preserve">(7), 693–706. </w:t>
      </w:r>
      <w:hyperlink r:id="rId31" w:history="1">
        <w:r w:rsidRPr="008A7E8B">
          <w:rPr>
            <w:rStyle w:val="Hyperlink"/>
          </w:rPr>
          <w:t>https://doi.org/10.1080/10511970.2016.1251519</w:t>
        </w:r>
      </w:hyperlink>
      <w:r>
        <w:t xml:space="preserve"> </w:t>
      </w:r>
    </w:p>
    <w:p w14:paraId="586EF8FD" w14:textId="20A7D39D" w:rsidR="008A7E8B" w:rsidRDefault="008A7E8B" w:rsidP="008A7E8B">
      <w:pPr>
        <w:pStyle w:val="E-JournalBody"/>
        <w:ind w:left="567" w:hanging="567"/>
      </w:pPr>
      <w:r w:rsidRPr="008E74D2">
        <w:t>Prambanan, D., Yathasya</w:t>
      </w:r>
      <w:r>
        <w:t>, D.</w:t>
      </w:r>
      <w:r w:rsidRPr="008E74D2">
        <w:t>, &amp; Anwar, P. S. A. (2023). Analysis of cognitive learning outcomes of compliance personality students in solving mathematical problems. </w:t>
      </w:r>
      <w:r w:rsidRPr="008E74D2">
        <w:rPr>
          <w:i/>
          <w:iCs/>
        </w:rPr>
        <w:t>Journal Evaluation in Education (JEE)</w:t>
      </w:r>
      <w:r w:rsidRPr="008E74D2">
        <w:t>, </w:t>
      </w:r>
      <w:r w:rsidRPr="008E74D2">
        <w:rPr>
          <w:i/>
          <w:iCs/>
        </w:rPr>
        <w:t>4</w:t>
      </w:r>
      <w:r w:rsidRPr="008E74D2">
        <w:t xml:space="preserve">(1), 31-35. </w:t>
      </w:r>
      <w:hyperlink r:id="rId32" w:history="1">
        <w:r w:rsidRPr="006A2E97">
          <w:rPr>
            <w:rStyle w:val="Hyperlink"/>
          </w:rPr>
          <w:t>https://doi.org/10.37251/jee.v4i1.285</w:t>
        </w:r>
      </w:hyperlink>
      <w:r>
        <w:t xml:space="preserve"> </w:t>
      </w:r>
    </w:p>
    <w:p w14:paraId="64B10984" w14:textId="6ACD136C" w:rsidR="008A7E8B" w:rsidRPr="008A7E8B" w:rsidRDefault="008A7E8B" w:rsidP="008A7E8B">
      <w:pPr>
        <w:pStyle w:val="E-JournalBody"/>
        <w:ind w:left="567" w:hanging="567"/>
      </w:pPr>
      <w:r w:rsidRPr="008A7E8B">
        <w:t xml:space="preserve">Rosa, E. M., Sundari, S., Ambarwati, E. R., Suryandari, G., Rochmawati, E., &amp; Suryanto, F. (2023). “E-Matching Card” to improve cooperation and cognitive abilities among nursing students. </w:t>
      </w:r>
      <w:r w:rsidRPr="008A7E8B">
        <w:rPr>
          <w:i/>
          <w:iCs/>
        </w:rPr>
        <w:t>Jurnal Keperawatan Indonesia, 26</w:t>
      </w:r>
      <w:r w:rsidRPr="008A7E8B">
        <w:t xml:space="preserve">(2), 89–96. </w:t>
      </w:r>
      <w:hyperlink r:id="rId33" w:history="1">
        <w:r w:rsidRPr="008A7E8B">
          <w:rPr>
            <w:rStyle w:val="Hyperlink"/>
          </w:rPr>
          <w:t>https://doi.org/10.7454/jki.v26i2.1136</w:t>
        </w:r>
      </w:hyperlink>
      <w:r>
        <w:t xml:space="preserve"> </w:t>
      </w:r>
    </w:p>
    <w:p w14:paraId="76C704FC" w14:textId="4ADA0513" w:rsidR="008A7E8B" w:rsidRPr="008A7E8B" w:rsidRDefault="004E0622" w:rsidP="008A7E8B">
      <w:pPr>
        <w:pStyle w:val="E-JournalBody"/>
        <w:ind w:left="567" w:hanging="567"/>
      </w:pPr>
      <w:r>
        <w:t>S</w:t>
      </w:r>
      <w:r w:rsidR="008A7E8B" w:rsidRPr="008A7E8B">
        <w:t>ahintepe, S., Erkol, M., &amp; Aydo</w:t>
      </w:r>
      <w:r>
        <w:t>g</w:t>
      </w:r>
      <w:r w:rsidR="008A7E8B" w:rsidRPr="008A7E8B">
        <w:t xml:space="preserve">du, B. (2020). The impact of inquiry based learning approach on secondary school students’ science process skills. </w:t>
      </w:r>
      <w:r w:rsidR="008A7E8B" w:rsidRPr="008A7E8B">
        <w:rPr>
          <w:i/>
          <w:iCs/>
        </w:rPr>
        <w:t>Open Journal for Educational Research, 4</w:t>
      </w:r>
      <w:r w:rsidR="008A7E8B" w:rsidRPr="008A7E8B">
        <w:t xml:space="preserve">(2), 117–142. </w:t>
      </w:r>
      <w:hyperlink r:id="rId34" w:history="1">
        <w:r w:rsidR="008A7E8B" w:rsidRPr="008A7E8B">
          <w:rPr>
            <w:rStyle w:val="Hyperlink"/>
          </w:rPr>
          <w:t>https://doi.org/10.32591/coas.ojer.0402.04117s</w:t>
        </w:r>
      </w:hyperlink>
      <w:r w:rsidR="008A7E8B">
        <w:t xml:space="preserve"> </w:t>
      </w:r>
    </w:p>
    <w:p w14:paraId="4C17374D" w14:textId="29CEF7C8" w:rsidR="008A7E8B" w:rsidRPr="008A7E8B" w:rsidRDefault="008A7E8B" w:rsidP="008A7E8B">
      <w:pPr>
        <w:pStyle w:val="E-JournalBody"/>
        <w:ind w:left="567" w:hanging="567"/>
      </w:pPr>
      <w:r w:rsidRPr="008A7E8B">
        <w:t xml:space="preserve">Sauvé, L., Fortin, A., Viger, C., &amp; Landry, F. (2018). Ineffective learning strategies: a significant barrier to post-secondary perseverance. </w:t>
      </w:r>
      <w:r w:rsidRPr="008A7E8B">
        <w:rPr>
          <w:i/>
          <w:iCs/>
        </w:rPr>
        <w:t>Journal of Further and Higher Education, 42</w:t>
      </w:r>
      <w:r w:rsidRPr="008A7E8B">
        <w:t xml:space="preserve">(2), 205–222. </w:t>
      </w:r>
      <w:hyperlink r:id="rId35" w:history="1">
        <w:r w:rsidRPr="008A7E8B">
          <w:rPr>
            <w:rStyle w:val="Hyperlink"/>
          </w:rPr>
          <w:t>https://doi.org/10.1080/0309877X.2016.1224329</w:t>
        </w:r>
      </w:hyperlink>
      <w:r>
        <w:t xml:space="preserve"> </w:t>
      </w:r>
    </w:p>
    <w:p w14:paraId="31B15346" w14:textId="6E719439" w:rsidR="008A7E8B" w:rsidRPr="008A7E8B" w:rsidRDefault="008A7E8B" w:rsidP="008A7E8B">
      <w:pPr>
        <w:pStyle w:val="E-JournalBody"/>
        <w:ind w:left="567" w:hanging="567"/>
      </w:pPr>
      <w:r w:rsidRPr="008A7E8B">
        <w:t xml:space="preserve">Sherif, Y. A., Hassan, M. A., Thuy Vu, M., Rosengart, T. K., &amp; Davis, R. W. (2021). Twelve Tips on enhancing global health education in graduate medical training programs. </w:t>
      </w:r>
      <w:r w:rsidRPr="008A7E8B">
        <w:rPr>
          <w:i/>
          <w:iCs/>
        </w:rPr>
        <w:t>Medical Teacher, 43</w:t>
      </w:r>
      <w:r w:rsidRPr="008A7E8B">
        <w:t xml:space="preserve">(2), 142–147. </w:t>
      </w:r>
      <w:hyperlink r:id="rId36" w:history="1">
        <w:r w:rsidRPr="008A7E8B">
          <w:rPr>
            <w:rStyle w:val="Hyperlink"/>
          </w:rPr>
          <w:t>https://doi.org/10.1080/0142159X.2020.1762033</w:t>
        </w:r>
      </w:hyperlink>
      <w:r>
        <w:t xml:space="preserve"> </w:t>
      </w:r>
    </w:p>
    <w:p w14:paraId="43EBDB06" w14:textId="240E542D" w:rsidR="008A7E8B" w:rsidRPr="008A7E8B" w:rsidRDefault="008A7E8B" w:rsidP="008A7E8B">
      <w:pPr>
        <w:pStyle w:val="E-JournalBody"/>
        <w:ind w:left="567" w:hanging="567"/>
      </w:pPr>
      <w:r w:rsidRPr="008A7E8B">
        <w:t xml:space="preserve">Souad, S. B., &amp; Korti, R. (2018). Citizen </w:t>
      </w:r>
      <w:r>
        <w:t>p</w:t>
      </w:r>
      <w:r w:rsidRPr="008A7E8B">
        <w:t xml:space="preserve">articipation: A matter of competency. </w:t>
      </w:r>
      <w:r w:rsidRPr="008A7E8B">
        <w:rPr>
          <w:i/>
          <w:iCs/>
        </w:rPr>
        <w:t>European Journal of Social Sciences, 1</w:t>
      </w:r>
      <w:r w:rsidRPr="008A7E8B">
        <w:t xml:space="preserve">(1), 103. </w:t>
      </w:r>
      <w:hyperlink r:id="rId37" w:history="1">
        <w:r w:rsidRPr="008A7E8B">
          <w:rPr>
            <w:rStyle w:val="Hyperlink"/>
          </w:rPr>
          <w:t>https://doi.org/10.26417/143ofb27u</w:t>
        </w:r>
      </w:hyperlink>
      <w:r>
        <w:t xml:space="preserve"> </w:t>
      </w:r>
    </w:p>
    <w:p w14:paraId="6F46B8E1" w14:textId="664118C9" w:rsidR="008A7E8B" w:rsidRDefault="008A7E8B" w:rsidP="008A7E8B">
      <w:pPr>
        <w:pStyle w:val="E-JournalBody"/>
        <w:ind w:left="567" w:hanging="567"/>
      </w:pPr>
      <w:r w:rsidRPr="008E74D2">
        <w:t xml:space="preserve">Sukamdi, S., Lepik, A., &amp; Denkovski, V. (2023). Tapping </w:t>
      </w:r>
      <w:r w:rsidR="00371DAD" w:rsidRPr="008E74D2">
        <w:t>into creativity</w:t>
      </w:r>
      <w:r w:rsidRPr="008E74D2">
        <w:t xml:space="preserve">: Crafting </w:t>
      </w:r>
      <w:r w:rsidR="00371DAD" w:rsidRPr="008E74D2">
        <w:t>engaging math lessons for middle schoolers with macromedia flash. </w:t>
      </w:r>
      <w:r w:rsidRPr="008E74D2">
        <w:rPr>
          <w:i/>
          <w:iCs/>
        </w:rPr>
        <w:t>Tekno-Pedagogi: Jurnal Teknologi Pendidikan</w:t>
      </w:r>
      <w:r w:rsidRPr="008E74D2">
        <w:t>, </w:t>
      </w:r>
      <w:r w:rsidRPr="008E74D2">
        <w:rPr>
          <w:i/>
          <w:iCs/>
        </w:rPr>
        <w:t>13</w:t>
      </w:r>
      <w:r w:rsidRPr="008E74D2">
        <w:t>(1), 10-20.</w:t>
      </w:r>
      <w:r>
        <w:t xml:space="preserve"> </w:t>
      </w:r>
      <w:hyperlink r:id="rId38" w:history="1">
        <w:r w:rsidRPr="008E74D2">
          <w:rPr>
            <w:rStyle w:val="Hyperlink"/>
          </w:rPr>
          <w:t>https://doi.org/10.22437/teknopedagogi.v13i1.36396</w:t>
        </w:r>
      </w:hyperlink>
    </w:p>
    <w:p w14:paraId="4A3E5683" w14:textId="1302D8E0" w:rsidR="008A7E8B" w:rsidRPr="008A7E8B" w:rsidRDefault="008A7E8B" w:rsidP="008A7E8B">
      <w:pPr>
        <w:pStyle w:val="E-JournalBody"/>
        <w:ind w:left="567" w:hanging="567"/>
      </w:pPr>
      <w:r w:rsidRPr="008A7E8B">
        <w:t xml:space="preserve">Suryawati, E., &amp; Osman, K. (2018). Contextual learning: Innovative approach towards the development of students’ scientific attitude and natural science performance. </w:t>
      </w:r>
      <w:r w:rsidRPr="008A7E8B">
        <w:rPr>
          <w:i/>
          <w:iCs/>
        </w:rPr>
        <w:t>Eurasia Journal of Mathematics, Science and Technology Education, 14</w:t>
      </w:r>
      <w:r w:rsidRPr="008A7E8B">
        <w:t xml:space="preserve">(1), 61–76. </w:t>
      </w:r>
      <w:hyperlink r:id="rId39" w:history="1">
        <w:r w:rsidRPr="008A7E8B">
          <w:rPr>
            <w:rStyle w:val="Hyperlink"/>
          </w:rPr>
          <w:t>https://doi.org/10.12973/ejmste/79329</w:t>
        </w:r>
      </w:hyperlink>
      <w:r>
        <w:t xml:space="preserve"> </w:t>
      </w:r>
    </w:p>
    <w:p w14:paraId="5489B78E" w14:textId="77777777" w:rsidR="008A7E8B" w:rsidRPr="008A7E8B" w:rsidRDefault="008A7E8B" w:rsidP="008A7E8B">
      <w:pPr>
        <w:pStyle w:val="E-JournalBody"/>
        <w:ind w:left="567" w:hanging="567"/>
      </w:pPr>
      <w:r w:rsidRPr="008A7E8B">
        <w:t xml:space="preserve">Theis, R., &amp; Rohana, S. (2022). Cooperative Learning Model with Process Skills for Mathematics Learning in Elementary School. </w:t>
      </w:r>
      <w:r w:rsidRPr="008A7E8B">
        <w:rPr>
          <w:i/>
          <w:iCs/>
        </w:rPr>
        <w:t>International Journal of Elementary Education, 6</w:t>
      </w:r>
      <w:r w:rsidRPr="008A7E8B">
        <w:t>(1), 58–68.</w:t>
      </w:r>
    </w:p>
    <w:p w14:paraId="4253A5DE" w14:textId="4D3949C8" w:rsidR="008A7E8B" w:rsidRPr="008A7E8B" w:rsidRDefault="008A7E8B" w:rsidP="008A7E8B">
      <w:pPr>
        <w:pStyle w:val="E-JournalBody"/>
        <w:ind w:left="567" w:hanging="567"/>
      </w:pPr>
      <w:r w:rsidRPr="008A7E8B">
        <w:t xml:space="preserve">Vartiainen, J., &amp; Kumpulainen, K. (2020). Playing with science: manifestation of scientific play in early science inquiry. </w:t>
      </w:r>
      <w:r w:rsidRPr="008A7E8B">
        <w:rPr>
          <w:i/>
          <w:iCs/>
        </w:rPr>
        <w:t>European Early Childhood Education Research Journal, 28</w:t>
      </w:r>
      <w:r w:rsidRPr="008A7E8B">
        <w:t xml:space="preserve">(4), 490–503. </w:t>
      </w:r>
      <w:hyperlink r:id="rId40" w:history="1">
        <w:r w:rsidRPr="008A7E8B">
          <w:rPr>
            <w:rStyle w:val="Hyperlink"/>
          </w:rPr>
          <w:t>https://doi.org/10.1080/1350293X.2020.1783924</w:t>
        </w:r>
      </w:hyperlink>
      <w:r>
        <w:t xml:space="preserve"> </w:t>
      </w:r>
    </w:p>
    <w:p w14:paraId="1E0F02FA" w14:textId="41D0AB4D" w:rsidR="008A7E8B" w:rsidRPr="008A7E8B" w:rsidRDefault="008A7E8B" w:rsidP="008A7E8B">
      <w:pPr>
        <w:pStyle w:val="E-JournalBody"/>
        <w:ind w:left="567" w:hanging="567"/>
      </w:pPr>
      <w:r w:rsidRPr="008A7E8B">
        <w:t xml:space="preserve">Verschaffel, L., Schukajlow, S., Star, J., &amp; Van Dooren, W. (2020). Word problems in mathematics education: a survey. </w:t>
      </w:r>
      <w:r w:rsidRPr="008A7E8B">
        <w:rPr>
          <w:i/>
          <w:iCs/>
        </w:rPr>
        <w:t>ZDM - Mathematics Education, 52</w:t>
      </w:r>
      <w:r w:rsidRPr="008A7E8B">
        <w:t xml:space="preserve">(1), 1–16. </w:t>
      </w:r>
      <w:hyperlink r:id="rId41" w:history="1">
        <w:r w:rsidRPr="008A7E8B">
          <w:rPr>
            <w:rStyle w:val="Hyperlink"/>
          </w:rPr>
          <w:t>https://doi.org/10.1007/s11858-020-01130-4</w:t>
        </w:r>
      </w:hyperlink>
      <w:r>
        <w:t xml:space="preserve"> </w:t>
      </w:r>
    </w:p>
    <w:p w14:paraId="40F1F5AE" w14:textId="0AEB703A" w:rsidR="008A7E8B" w:rsidRPr="008A7E8B" w:rsidRDefault="008A7E8B" w:rsidP="008A7E8B">
      <w:pPr>
        <w:pStyle w:val="E-JournalBody"/>
        <w:ind w:left="567" w:hanging="567"/>
      </w:pPr>
      <w:r w:rsidRPr="008A7E8B">
        <w:t xml:space="preserve">Wahjusaputri, S., &amp; Bunyamin, B. (2022). Development of teaching factory competency-based for vocational secondary education in Central Java, Indonesia. </w:t>
      </w:r>
      <w:r w:rsidRPr="008A7E8B">
        <w:rPr>
          <w:i/>
          <w:iCs/>
        </w:rPr>
        <w:t>International Journal of Evaluation and Research in Education, 11</w:t>
      </w:r>
      <w:r w:rsidRPr="008A7E8B">
        <w:t xml:space="preserve">(1), 353–360. </w:t>
      </w:r>
      <w:hyperlink r:id="rId42" w:history="1">
        <w:r w:rsidRPr="008A7E8B">
          <w:rPr>
            <w:rStyle w:val="Hyperlink"/>
          </w:rPr>
          <w:t>https://doi.org/10.11591/ijere.v11i1.21709</w:t>
        </w:r>
      </w:hyperlink>
      <w:r>
        <w:t xml:space="preserve"> </w:t>
      </w:r>
    </w:p>
    <w:p w14:paraId="1D6AEB48" w14:textId="091FF47F" w:rsidR="008A7E8B" w:rsidRPr="008A7E8B" w:rsidRDefault="008A7E8B" w:rsidP="008A7E8B">
      <w:pPr>
        <w:pStyle w:val="E-JournalBody"/>
        <w:ind w:left="567" w:hanging="567"/>
      </w:pPr>
      <w:r w:rsidRPr="008A7E8B">
        <w:t xml:space="preserve">Warfa, A. R. M., Nyachwaya, J., &amp; Roehrig, G. (2018). The influences of group dialog on individual student understanding of science concepts. </w:t>
      </w:r>
      <w:r w:rsidRPr="008A7E8B">
        <w:rPr>
          <w:i/>
          <w:iCs/>
        </w:rPr>
        <w:t>International Journal of STEM Education, 5</w:t>
      </w:r>
      <w:r w:rsidRPr="008A7E8B">
        <w:t xml:space="preserve">(1). </w:t>
      </w:r>
      <w:hyperlink r:id="rId43" w:history="1">
        <w:r w:rsidRPr="008A7E8B">
          <w:rPr>
            <w:rStyle w:val="Hyperlink"/>
          </w:rPr>
          <w:t>https://doi.org/10.1186/s40594-018-0142-3</w:t>
        </w:r>
      </w:hyperlink>
      <w:r>
        <w:t xml:space="preserve"> </w:t>
      </w:r>
    </w:p>
    <w:p w14:paraId="29D0DF2E" w14:textId="30A61B49" w:rsidR="008A7E8B" w:rsidRPr="008A7E8B" w:rsidRDefault="008A7E8B" w:rsidP="008A7E8B">
      <w:pPr>
        <w:pStyle w:val="E-JournalBody"/>
        <w:ind w:left="567" w:hanging="567"/>
      </w:pPr>
      <w:r w:rsidRPr="008A7E8B">
        <w:t xml:space="preserve">Zappone, A., Di Renzo, M., &amp; Debbah, M. (2019). Wireless networks design in the era of deep learning: Model-Based, AI-Based, or </w:t>
      </w:r>
      <w:r>
        <w:t>b</w:t>
      </w:r>
      <w:r w:rsidRPr="008A7E8B">
        <w:t xml:space="preserve">oth? </w:t>
      </w:r>
      <w:r w:rsidRPr="008A7E8B">
        <w:rPr>
          <w:i/>
          <w:iCs/>
        </w:rPr>
        <w:t>IEEE Transactions on Communications, 67</w:t>
      </w:r>
      <w:r w:rsidRPr="008A7E8B">
        <w:t xml:space="preserve">(10), 7331–7376. </w:t>
      </w:r>
      <w:hyperlink r:id="rId44" w:history="1">
        <w:r w:rsidRPr="008A7E8B">
          <w:rPr>
            <w:rStyle w:val="Hyperlink"/>
          </w:rPr>
          <w:t>https://doi.org/10.1109/TCOMM.2019.2924010</w:t>
        </w:r>
      </w:hyperlink>
      <w:r>
        <w:t xml:space="preserve"> </w:t>
      </w:r>
    </w:p>
    <w:p w14:paraId="77099438" w14:textId="4175F773" w:rsidR="008A7E8B" w:rsidRPr="00BC4D19" w:rsidRDefault="008A7E8B" w:rsidP="008A7E8B">
      <w:pPr>
        <w:adjustRightInd w:val="0"/>
        <w:ind w:left="567" w:hanging="567"/>
        <w:jc w:val="both"/>
        <w:rPr>
          <w:b/>
        </w:rPr>
      </w:pPr>
      <w:r w:rsidRPr="008A7E8B">
        <w:rPr>
          <w:rFonts w:ascii="Times New Roman" w:hAnsi="Times New Roman"/>
          <w:lang w:val="id-ID"/>
        </w:rPr>
        <w:t xml:space="preserve">Zysberg, L., &amp; Schwabsky, N. (2021). School climate, academic self-efficacy and student achievement. Educational Psychology, 41(4), 467–482. </w:t>
      </w:r>
      <w:hyperlink r:id="rId45" w:history="1">
        <w:r w:rsidRPr="006A2E97">
          <w:rPr>
            <w:rStyle w:val="Hyperlink"/>
            <w:rFonts w:ascii="Times New Roman" w:hAnsi="Times New Roman"/>
            <w:lang w:val="id-ID"/>
          </w:rPr>
          <w:t>https://doi.org/10.1080/01443410.2020.1813690</w:t>
        </w:r>
      </w:hyperlink>
    </w:p>
    <w:sectPr w:rsidR="008A7E8B" w:rsidRPr="00BC4D19" w:rsidSect="00703252">
      <w:headerReference w:type="even" r:id="rId46"/>
      <w:headerReference w:type="default" r:id="rId47"/>
      <w:footerReference w:type="even" r:id="rId48"/>
      <w:footerReference w:type="default" r:id="rId49"/>
      <w:headerReference w:type="first" r:id="rId50"/>
      <w:footerReference w:type="first" r:id="rId51"/>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647A" w14:textId="77777777" w:rsidR="00F16851" w:rsidRDefault="00F16851" w:rsidP="0082778E">
      <w:pPr>
        <w:spacing w:after="0" w:line="240" w:lineRule="auto"/>
      </w:pPr>
      <w:r>
        <w:separator/>
      </w:r>
    </w:p>
  </w:endnote>
  <w:endnote w:type="continuationSeparator" w:id="0">
    <w:p w14:paraId="5A35B98D" w14:textId="77777777" w:rsidR="00F16851" w:rsidRDefault="00F16851"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3B147429" w:rsidR="00F21E16" w:rsidRPr="00057A19" w:rsidRDefault="00945109"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6944" behindDoc="0" locked="0" layoutInCell="1" allowOverlap="1" wp14:anchorId="0ACE9A8D" wp14:editId="74FD78E9">
              <wp:simplePos x="0" y="0"/>
              <wp:positionH relativeFrom="column">
                <wp:posOffset>-12700</wp:posOffset>
              </wp:positionH>
              <wp:positionV relativeFrom="paragraph">
                <wp:posOffset>1270</wp:posOffset>
              </wp:positionV>
              <wp:extent cx="5810250" cy="0"/>
              <wp:effectExtent l="25400" t="20320" r="22225" b="27305"/>
              <wp:wrapNone/>
              <wp:docPr id="14105763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DC849" id="Line 26" o:spid="_x0000_s1026" style="position:absolute;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 xml:space="preserve">Page |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6166D719" w14:textId="77777777" w:rsidR="00F21E16" w:rsidRDefault="00F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323EE18C" w:rsidR="007C3B9F" w:rsidRPr="00057A19" w:rsidRDefault="00945109"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56704" behindDoc="0" locked="0" layoutInCell="1" allowOverlap="1" wp14:anchorId="6C221822" wp14:editId="016246B3">
              <wp:simplePos x="0" y="0"/>
              <wp:positionH relativeFrom="column">
                <wp:posOffset>-12700</wp:posOffset>
              </wp:positionH>
              <wp:positionV relativeFrom="paragraph">
                <wp:posOffset>1270</wp:posOffset>
              </wp:positionV>
              <wp:extent cx="5810250" cy="0"/>
              <wp:effectExtent l="25400" t="20320" r="22225" b="27305"/>
              <wp:wrapNone/>
              <wp:docPr id="162978060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79A54"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7C3B9F">
      <w:rPr>
        <w:rFonts w:ascii="Times New Roman" w:hAnsi="Times New Roman"/>
        <w:sz w:val="24"/>
        <w:szCs w:val="24"/>
      </w:rPr>
      <w:t xml:space="preserve">                                                          </w:t>
    </w:r>
    <w:r w:rsidR="003F7A97">
      <w:rPr>
        <w:rFonts w:ascii="Times New Roman" w:hAnsi="Times New Roman"/>
        <w:sz w:val="24"/>
        <w:szCs w:val="24"/>
      </w:rPr>
      <w:tab/>
      <w:t xml:space="preserve">Page | </w:t>
    </w:r>
    <w:r w:rsidR="007C3B9F" w:rsidRPr="00057A19">
      <w:rPr>
        <w:rFonts w:ascii="Times New Roman" w:hAnsi="Times New Roman"/>
        <w:sz w:val="24"/>
        <w:szCs w:val="24"/>
      </w:rPr>
      <w:fldChar w:fldCharType="begin"/>
    </w:r>
    <w:r w:rsidR="007C3B9F" w:rsidRPr="00057A19">
      <w:rPr>
        <w:rFonts w:ascii="Times New Roman" w:hAnsi="Times New Roman"/>
        <w:sz w:val="24"/>
        <w:szCs w:val="24"/>
      </w:rPr>
      <w:instrText xml:space="preserve"> PAGE   \* MERGEFORMAT </w:instrText>
    </w:r>
    <w:r w:rsidR="007C3B9F" w:rsidRPr="00057A19">
      <w:rPr>
        <w:rFonts w:ascii="Times New Roman" w:hAnsi="Times New Roman"/>
        <w:sz w:val="24"/>
        <w:szCs w:val="24"/>
      </w:rPr>
      <w:fldChar w:fldCharType="separate"/>
    </w:r>
    <w:r w:rsidR="000D5B48">
      <w:rPr>
        <w:rFonts w:ascii="Times New Roman" w:hAnsi="Times New Roman"/>
        <w:noProof/>
        <w:sz w:val="24"/>
        <w:szCs w:val="24"/>
      </w:rPr>
      <w:t>16</w:t>
    </w:r>
    <w:r w:rsidR="007C3B9F" w:rsidRPr="00057A19">
      <w:rPr>
        <w:rFonts w:ascii="Times New Roman" w:hAnsi="Times New Roman"/>
        <w:sz w:val="24"/>
        <w:szCs w:val="24"/>
      </w:rPr>
      <w:fldChar w:fldCharType="end"/>
    </w:r>
    <w:r w:rsidR="007C3B9F" w:rsidRPr="00057A19">
      <w:rPr>
        <w:rFonts w:ascii="Times New Roman" w:hAnsi="Times New Roman"/>
        <w:sz w:val="24"/>
        <w:szCs w:val="24"/>
      </w:rPr>
      <w:t xml:space="preserve"> </w:t>
    </w:r>
  </w:p>
  <w:p w14:paraId="10BC6D30" w14:textId="77777777" w:rsidR="007C3B9F" w:rsidRDefault="007C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44BC6735" w:rsidR="00F21E16" w:rsidRPr="00057A19" w:rsidRDefault="00945109"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8992" behindDoc="0" locked="0" layoutInCell="1" allowOverlap="1" wp14:anchorId="656277BE" wp14:editId="6AAB327A">
              <wp:simplePos x="0" y="0"/>
              <wp:positionH relativeFrom="column">
                <wp:posOffset>-12700</wp:posOffset>
              </wp:positionH>
              <wp:positionV relativeFrom="paragraph">
                <wp:posOffset>1270</wp:posOffset>
              </wp:positionV>
              <wp:extent cx="5810250" cy="0"/>
              <wp:effectExtent l="25400" t="20320" r="22225" b="27305"/>
              <wp:wrapNone/>
              <wp:docPr id="137059415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B322B" id="Line 27"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 xml:space="preserve">Page|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3AED009B" w14:textId="77777777" w:rsidR="00F21E16" w:rsidRDefault="00F2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A5808" w14:textId="77777777" w:rsidR="00F16851" w:rsidRDefault="00F16851" w:rsidP="0082778E">
      <w:pPr>
        <w:spacing w:after="0" w:line="240" w:lineRule="auto"/>
      </w:pPr>
      <w:r>
        <w:separator/>
      </w:r>
    </w:p>
  </w:footnote>
  <w:footnote w:type="continuationSeparator" w:id="0">
    <w:p w14:paraId="758AFDE3" w14:textId="77777777" w:rsidR="00F16851" w:rsidRDefault="00F16851"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0735B864" w:rsidR="00F21E16" w:rsidRPr="00F21E16" w:rsidRDefault="00000000" w:rsidP="00F21E16">
    <w:pPr>
      <w:pStyle w:val="Header"/>
      <w:tabs>
        <w:tab w:val="clear" w:pos="4513"/>
        <w:tab w:val="clear" w:pos="9026"/>
      </w:tabs>
      <w:rPr>
        <w:rFonts w:ascii="Times New Roman" w:hAnsi="Times New Roman"/>
      </w:rPr>
    </w:pPr>
    <w:r>
      <w:rPr>
        <w:noProof/>
      </w:rPr>
      <w:pict w14:anchorId="6B71C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5079" o:spid="_x0000_s1027" type="#_x0000_t136" style="position:absolute;margin-left:0;margin-top:0;width:405.2pt;height:243.1pt;rotation:315;z-index:-2516413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7B049A33" w14:textId="00A4981E" w:rsidR="00F21E16" w:rsidRDefault="00945109" w:rsidP="00F21E16">
    <w:pPr>
      <w:pStyle w:val="Header"/>
      <w:tabs>
        <w:tab w:val="left" w:pos="3631"/>
      </w:tabs>
    </w:pPr>
    <w:r>
      <w:rPr>
        <w:noProof/>
      </w:rPr>
      <mc:AlternateContent>
        <mc:Choice Requires="wps">
          <w:drawing>
            <wp:anchor distT="0" distB="0" distL="114300" distR="114300" simplePos="0" relativeHeight="251671040" behindDoc="0" locked="0" layoutInCell="1" allowOverlap="1" wp14:anchorId="1A9C9138" wp14:editId="6BFA693F">
              <wp:simplePos x="0" y="0"/>
              <wp:positionH relativeFrom="column">
                <wp:posOffset>-12700</wp:posOffset>
              </wp:positionH>
              <wp:positionV relativeFrom="paragraph">
                <wp:posOffset>85725</wp:posOffset>
              </wp:positionV>
              <wp:extent cx="5861050" cy="0"/>
              <wp:effectExtent l="25400" t="19050" r="19050" b="19050"/>
              <wp:wrapNone/>
              <wp:docPr id="11366530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7AE7D" id="_x0000_t32" coordsize="21600,21600" o:spt="32" o:oned="t" path="m,l21600,21600e" filled="f">
              <v:path arrowok="t" fillok="f" o:connecttype="none"/>
              <o:lock v:ext="edit" shapetype="t"/>
            </v:shapetype>
            <v:shape id="AutoShape 28" o:spid="_x0000_s1026" type="#_x0000_t32" style="position:absolute;margin-left:-1pt;margin-top:6.75pt;width:46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4F41BE77" w:rsidR="00F21E16" w:rsidRPr="00F21E16" w:rsidRDefault="00000000" w:rsidP="00F21E16">
    <w:pPr>
      <w:pStyle w:val="Header"/>
      <w:tabs>
        <w:tab w:val="clear" w:pos="4513"/>
        <w:tab w:val="clear" w:pos="9026"/>
      </w:tabs>
      <w:jc w:val="right"/>
      <w:rPr>
        <w:rFonts w:ascii="Times New Roman" w:hAnsi="Times New Roman"/>
      </w:rPr>
    </w:pPr>
    <w:r>
      <w:rPr>
        <w:noProof/>
      </w:rPr>
      <w:pict w14:anchorId="2CE7A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5080" o:spid="_x0000_s1028" type="#_x0000_t136" style="position:absolute;left:0;text-align:left;margin-left:0;margin-top:0;width:405.2pt;height:243.1pt;rotation:315;z-index:-2516392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193AD890" w14:textId="4044119B" w:rsidR="007C3B9F" w:rsidRPr="0057448B" w:rsidRDefault="00945109" w:rsidP="00236F12">
    <w:pPr>
      <w:pStyle w:val="Header"/>
      <w:tabs>
        <w:tab w:val="left" w:pos="3631"/>
      </w:tabs>
    </w:pPr>
    <w:r>
      <w:rPr>
        <w:noProof/>
      </w:rPr>
      <mc:AlternateContent>
        <mc:Choice Requires="wps">
          <w:drawing>
            <wp:anchor distT="0" distB="0" distL="114300" distR="114300" simplePos="0" relativeHeight="251664896" behindDoc="0" locked="0" layoutInCell="1" allowOverlap="1" wp14:anchorId="18969AC6" wp14:editId="2C7FDCBD">
              <wp:simplePos x="0" y="0"/>
              <wp:positionH relativeFrom="column">
                <wp:posOffset>-12700</wp:posOffset>
              </wp:positionH>
              <wp:positionV relativeFrom="paragraph">
                <wp:posOffset>85725</wp:posOffset>
              </wp:positionV>
              <wp:extent cx="5861050" cy="0"/>
              <wp:effectExtent l="25400" t="19050" r="19050" b="19050"/>
              <wp:wrapNone/>
              <wp:docPr id="112852976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63710" id="_x0000_t32" coordsize="21600,21600" o:spt="32" o:oned="t" path="m,l21600,21600e" filled="f">
              <v:path arrowok="t" fillok="f" o:connecttype="none"/>
              <o:lock v:ext="edit" shapetype="t"/>
            </v:shapetype>
            <v:shape id="AutoShape 18" o:spid="_x0000_s1026" type="#_x0000_t32" style="position:absolute;margin-left:-1pt;margin-top:6.75pt;width:4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617FDE10" w:rsidR="00FB7986" w:rsidRDefault="00000000" w:rsidP="00FB7986">
    <w:pPr>
      <w:pStyle w:val="Header"/>
      <w:tabs>
        <w:tab w:val="clear" w:pos="9026"/>
        <w:tab w:val="right" w:pos="9197"/>
      </w:tabs>
      <w:rPr>
        <w:rFonts w:ascii="Times New Roman" w:hAnsi="Times New Roman"/>
      </w:rPr>
    </w:pPr>
    <w:r>
      <w:rPr>
        <w:noProof/>
      </w:rPr>
      <w:pict w14:anchorId="44613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5078" o:spid="_x0000_s1026" type="#_x0000_t136" style="position:absolute;margin-left:0;margin-top:0;width:405.2pt;height:243.1pt;rotation:315;z-index:-2516433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45109">
      <w:rPr>
        <w:rFonts w:ascii="Times New Roman" w:hAnsi="Times New Roman"/>
        <w:noProof/>
      </w:rPr>
      <mc:AlternateContent>
        <mc:Choice Requires="wps">
          <w:drawing>
            <wp:inline distT="0" distB="0" distL="0" distR="0" wp14:anchorId="3A26FAF1" wp14:editId="6A247739">
              <wp:extent cx="1200150" cy="247650"/>
              <wp:effectExtent l="0" t="0" r="0" b="0"/>
              <wp:docPr id="186755980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3A26FAF1" id="_x0000_t202" coordsize="21600,21600" o:spt="202" path="m,l,21600r21600,l21600,xe">
              <v:stroke joinstyle="miter"/>
              <v:path gradientshapeok="t" o:connecttype="rect"/>
            </v:shapetype>
            <v:shape id="Text Box 29" o:spid="_x0000_s1026"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" fillcolor="#70ad47 [3209]" stroked="f" strokecolor="#f2f2f2 [3041]" strokeweight="3pt">
              <v:shadow color="#375623 [1609]" opacity=".5" offset="1pt"/>
              <v:textbo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anchorlock/>
            </v:shape>
          </w:pict>
        </mc:Fallback>
      </mc:AlternateContent>
    </w:r>
  </w:p>
  <w:p w14:paraId="42475ED0" w14:textId="77777777" w:rsidR="003058D0" w:rsidRDefault="00FB7986"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0E6880CB" w14:textId="56F433EC" w:rsidR="003058D0" w:rsidRDefault="003058D0"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580B5230" w14:textId="0CB1CC10" w:rsidR="003058D0" w:rsidRDefault="00945109" w:rsidP="003058D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0800" behindDoc="0" locked="0" layoutInCell="1" allowOverlap="1" wp14:anchorId="4023460C" wp14:editId="4B22AF74">
              <wp:simplePos x="0" y="0"/>
              <wp:positionH relativeFrom="column">
                <wp:posOffset>3175</wp:posOffset>
              </wp:positionH>
              <wp:positionV relativeFrom="paragraph">
                <wp:posOffset>35560</wp:posOffset>
              </wp:positionV>
              <wp:extent cx="5861050" cy="285750"/>
              <wp:effectExtent l="22225" t="26035" r="22225" b="2540"/>
              <wp:wrapNone/>
              <wp:docPr id="138789297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1181703432" name="AutoShape 8"/>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1266581984" name="Rectangle 9"/>
                      <wps:cNvSpPr>
                        <a:spLocks noChangeArrowheads="1"/>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460C" id="Group 19" o:spid="_x0000_s1027" style="position:absolute;margin-left:.25pt;margin-top:2.8pt;width:461.5pt;height:22.5pt;z-index:251660800;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">
              <v:shapetype id="_x0000_t32" coordsize="21600,21600" o:spt="32" o:oned="t" path="m,l21600,21600e" filled="f">
                <v:path arrowok="t" fillok="f" o:connecttype="none"/>
                <o:lock v:ext="edit" shapetype="t"/>
              </v:shapetype>
              <v:shape id="AutoShape 8" o:spid="_x0000_s1028"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" strokecolor="#70ad47 [3209]" strokeweight="3pt"/>
              <v:rect id="Rectangle 9" o:spid="_x0000_s1029"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" fillcolor="#70ad47 [3209]" stroked="f">
                <v:textbo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v:group>
          </w:pict>
        </mc:Fallback>
      </mc:AlternateContent>
    </w:r>
  </w:p>
  <w:p w14:paraId="5530F187" w14:textId="0D65EA77" w:rsidR="003058D0" w:rsidRDefault="00FB7986"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0B323CF" w14:textId="77777777" w:rsidR="00F860A5" w:rsidRPr="00F860A5" w:rsidRDefault="00F860A5"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3"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5"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6"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7"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8"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1"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2"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3"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4"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5"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288049804">
    <w:abstractNumId w:val="6"/>
  </w:num>
  <w:num w:numId="2" w16cid:durableId="2101749687">
    <w:abstractNumId w:val="10"/>
  </w:num>
  <w:num w:numId="3" w16cid:durableId="1214850302">
    <w:abstractNumId w:val="4"/>
  </w:num>
  <w:num w:numId="4" w16cid:durableId="1234003396">
    <w:abstractNumId w:val="14"/>
  </w:num>
  <w:num w:numId="5" w16cid:durableId="414015675">
    <w:abstractNumId w:val="13"/>
  </w:num>
  <w:num w:numId="6" w16cid:durableId="1359500144">
    <w:abstractNumId w:val="12"/>
  </w:num>
  <w:num w:numId="7" w16cid:durableId="1939094803">
    <w:abstractNumId w:val="7"/>
  </w:num>
  <w:num w:numId="8" w16cid:durableId="1964917859">
    <w:abstractNumId w:val="11"/>
  </w:num>
  <w:num w:numId="9" w16cid:durableId="1083837321">
    <w:abstractNumId w:val="5"/>
  </w:num>
  <w:num w:numId="10" w16cid:durableId="1642347477">
    <w:abstractNumId w:val="15"/>
  </w:num>
  <w:num w:numId="11" w16cid:durableId="608007687">
    <w:abstractNumId w:val="1"/>
  </w:num>
  <w:num w:numId="12" w16cid:durableId="334500247">
    <w:abstractNumId w:val="16"/>
  </w:num>
  <w:num w:numId="13" w16cid:durableId="886112621">
    <w:abstractNumId w:val="9"/>
  </w:num>
  <w:num w:numId="14" w16cid:durableId="1623806331">
    <w:abstractNumId w:val="0"/>
  </w:num>
  <w:num w:numId="15" w16cid:durableId="1971091906">
    <w:abstractNumId w:val="3"/>
  </w:num>
  <w:num w:numId="16" w16cid:durableId="846870383">
    <w:abstractNumId w:val="2"/>
  </w:num>
  <w:num w:numId="17" w16cid:durableId="2019304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5C"/>
    <w:rsid w:val="000319F3"/>
    <w:rsid w:val="0003375E"/>
    <w:rsid w:val="0004226A"/>
    <w:rsid w:val="00057A19"/>
    <w:rsid w:val="0006280D"/>
    <w:rsid w:val="00067DCF"/>
    <w:rsid w:val="00075F3A"/>
    <w:rsid w:val="00084824"/>
    <w:rsid w:val="0008590F"/>
    <w:rsid w:val="0009003F"/>
    <w:rsid w:val="0009269E"/>
    <w:rsid w:val="00094BE3"/>
    <w:rsid w:val="000A3947"/>
    <w:rsid w:val="000A5249"/>
    <w:rsid w:val="000A7D51"/>
    <w:rsid w:val="000B0108"/>
    <w:rsid w:val="000C024E"/>
    <w:rsid w:val="000C332D"/>
    <w:rsid w:val="000C3E83"/>
    <w:rsid w:val="000D0F43"/>
    <w:rsid w:val="000D47A9"/>
    <w:rsid w:val="000D5B48"/>
    <w:rsid w:val="00103674"/>
    <w:rsid w:val="001108B8"/>
    <w:rsid w:val="00122651"/>
    <w:rsid w:val="00124310"/>
    <w:rsid w:val="00132E9A"/>
    <w:rsid w:val="001F0F66"/>
    <w:rsid w:val="001F196A"/>
    <w:rsid w:val="00200CDE"/>
    <w:rsid w:val="00202418"/>
    <w:rsid w:val="00205016"/>
    <w:rsid w:val="00205137"/>
    <w:rsid w:val="00206DF3"/>
    <w:rsid w:val="002070B9"/>
    <w:rsid w:val="00211517"/>
    <w:rsid w:val="0021301D"/>
    <w:rsid w:val="00233114"/>
    <w:rsid w:val="00236F12"/>
    <w:rsid w:val="00241AB1"/>
    <w:rsid w:val="00253B75"/>
    <w:rsid w:val="00293BC8"/>
    <w:rsid w:val="00294513"/>
    <w:rsid w:val="002A1B78"/>
    <w:rsid w:val="002B04BE"/>
    <w:rsid w:val="002B7A0F"/>
    <w:rsid w:val="002C6DE0"/>
    <w:rsid w:val="002D465D"/>
    <w:rsid w:val="002F6EE8"/>
    <w:rsid w:val="00300469"/>
    <w:rsid w:val="00301D6D"/>
    <w:rsid w:val="003058D0"/>
    <w:rsid w:val="0031163C"/>
    <w:rsid w:val="00317FDC"/>
    <w:rsid w:val="00321C62"/>
    <w:rsid w:val="00322ED5"/>
    <w:rsid w:val="00366416"/>
    <w:rsid w:val="00371DAD"/>
    <w:rsid w:val="003753DD"/>
    <w:rsid w:val="003765F2"/>
    <w:rsid w:val="00391CC9"/>
    <w:rsid w:val="0039367E"/>
    <w:rsid w:val="00393FEE"/>
    <w:rsid w:val="003B33AD"/>
    <w:rsid w:val="003B59CA"/>
    <w:rsid w:val="003D707A"/>
    <w:rsid w:val="003E225C"/>
    <w:rsid w:val="003F14E3"/>
    <w:rsid w:val="003F385B"/>
    <w:rsid w:val="003F5F8B"/>
    <w:rsid w:val="003F7A97"/>
    <w:rsid w:val="00405D98"/>
    <w:rsid w:val="00431AB4"/>
    <w:rsid w:val="00441747"/>
    <w:rsid w:val="00441DE3"/>
    <w:rsid w:val="00444DBB"/>
    <w:rsid w:val="00451E6B"/>
    <w:rsid w:val="00475959"/>
    <w:rsid w:val="0047633C"/>
    <w:rsid w:val="0048390D"/>
    <w:rsid w:val="00487275"/>
    <w:rsid w:val="00496FB1"/>
    <w:rsid w:val="004B09B9"/>
    <w:rsid w:val="004B2522"/>
    <w:rsid w:val="004D27C3"/>
    <w:rsid w:val="004E0622"/>
    <w:rsid w:val="004F5B5D"/>
    <w:rsid w:val="00500920"/>
    <w:rsid w:val="00511683"/>
    <w:rsid w:val="00516B09"/>
    <w:rsid w:val="00524133"/>
    <w:rsid w:val="00524BB9"/>
    <w:rsid w:val="005502F1"/>
    <w:rsid w:val="00562A11"/>
    <w:rsid w:val="00564746"/>
    <w:rsid w:val="0057448B"/>
    <w:rsid w:val="00575427"/>
    <w:rsid w:val="005823BF"/>
    <w:rsid w:val="00591BD8"/>
    <w:rsid w:val="005A1F8F"/>
    <w:rsid w:val="005D0772"/>
    <w:rsid w:val="005D417A"/>
    <w:rsid w:val="005D78CE"/>
    <w:rsid w:val="005E3D15"/>
    <w:rsid w:val="005F0FF1"/>
    <w:rsid w:val="00601E5B"/>
    <w:rsid w:val="006029D4"/>
    <w:rsid w:val="00646822"/>
    <w:rsid w:val="00652287"/>
    <w:rsid w:val="0066095B"/>
    <w:rsid w:val="00661966"/>
    <w:rsid w:val="0066228E"/>
    <w:rsid w:val="00662646"/>
    <w:rsid w:val="006A2E1C"/>
    <w:rsid w:val="006B60DD"/>
    <w:rsid w:val="006C0E23"/>
    <w:rsid w:val="006D4AD4"/>
    <w:rsid w:val="006D5A7F"/>
    <w:rsid w:val="006F4807"/>
    <w:rsid w:val="006F50C0"/>
    <w:rsid w:val="0070029C"/>
    <w:rsid w:val="0070297C"/>
    <w:rsid w:val="007031D3"/>
    <w:rsid w:val="00703252"/>
    <w:rsid w:val="00714CF1"/>
    <w:rsid w:val="00741CB2"/>
    <w:rsid w:val="00767253"/>
    <w:rsid w:val="00770F0F"/>
    <w:rsid w:val="007B0E2A"/>
    <w:rsid w:val="007C3B9F"/>
    <w:rsid w:val="007E3344"/>
    <w:rsid w:val="007F2D21"/>
    <w:rsid w:val="0080213B"/>
    <w:rsid w:val="008021D7"/>
    <w:rsid w:val="008047F3"/>
    <w:rsid w:val="0082778E"/>
    <w:rsid w:val="0083378A"/>
    <w:rsid w:val="008366FB"/>
    <w:rsid w:val="008377FE"/>
    <w:rsid w:val="00851940"/>
    <w:rsid w:val="008670E5"/>
    <w:rsid w:val="0087325C"/>
    <w:rsid w:val="00873A88"/>
    <w:rsid w:val="00877853"/>
    <w:rsid w:val="00885C83"/>
    <w:rsid w:val="008A7208"/>
    <w:rsid w:val="008A7E8B"/>
    <w:rsid w:val="008D2836"/>
    <w:rsid w:val="008E7CB2"/>
    <w:rsid w:val="008F1D12"/>
    <w:rsid w:val="00923F7C"/>
    <w:rsid w:val="0092611F"/>
    <w:rsid w:val="00944F10"/>
    <w:rsid w:val="00945109"/>
    <w:rsid w:val="009636E8"/>
    <w:rsid w:val="00963B36"/>
    <w:rsid w:val="009820D6"/>
    <w:rsid w:val="00983FFE"/>
    <w:rsid w:val="009A6AEA"/>
    <w:rsid w:val="009D5728"/>
    <w:rsid w:val="009E2ED7"/>
    <w:rsid w:val="00A261E5"/>
    <w:rsid w:val="00A26307"/>
    <w:rsid w:val="00A520A3"/>
    <w:rsid w:val="00A553A9"/>
    <w:rsid w:val="00A55776"/>
    <w:rsid w:val="00A6673C"/>
    <w:rsid w:val="00A6686E"/>
    <w:rsid w:val="00A7149B"/>
    <w:rsid w:val="00A72081"/>
    <w:rsid w:val="00A7235B"/>
    <w:rsid w:val="00A87101"/>
    <w:rsid w:val="00AA48DC"/>
    <w:rsid w:val="00AB167A"/>
    <w:rsid w:val="00AE0DE7"/>
    <w:rsid w:val="00B16767"/>
    <w:rsid w:val="00B4008C"/>
    <w:rsid w:val="00B44371"/>
    <w:rsid w:val="00B54D56"/>
    <w:rsid w:val="00BA2F60"/>
    <w:rsid w:val="00BA5C54"/>
    <w:rsid w:val="00BB0A02"/>
    <w:rsid w:val="00BB4FDA"/>
    <w:rsid w:val="00BB7535"/>
    <w:rsid w:val="00BC4D19"/>
    <w:rsid w:val="00BD4D78"/>
    <w:rsid w:val="00BE6285"/>
    <w:rsid w:val="00BF2160"/>
    <w:rsid w:val="00BF4777"/>
    <w:rsid w:val="00C00B8B"/>
    <w:rsid w:val="00C02D72"/>
    <w:rsid w:val="00C02E24"/>
    <w:rsid w:val="00C14CCA"/>
    <w:rsid w:val="00C1681A"/>
    <w:rsid w:val="00C411C5"/>
    <w:rsid w:val="00C67DA6"/>
    <w:rsid w:val="00C76CBA"/>
    <w:rsid w:val="00C84811"/>
    <w:rsid w:val="00C86663"/>
    <w:rsid w:val="00CA0B7E"/>
    <w:rsid w:val="00CA2438"/>
    <w:rsid w:val="00CB48BC"/>
    <w:rsid w:val="00CB752E"/>
    <w:rsid w:val="00CC1AD3"/>
    <w:rsid w:val="00CE2F30"/>
    <w:rsid w:val="00CE5CF3"/>
    <w:rsid w:val="00D01A6C"/>
    <w:rsid w:val="00D024C8"/>
    <w:rsid w:val="00D17821"/>
    <w:rsid w:val="00D22D7A"/>
    <w:rsid w:val="00D36644"/>
    <w:rsid w:val="00D40846"/>
    <w:rsid w:val="00D57EE3"/>
    <w:rsid w:val="00D916E2"/>
    <w:rsid w:val="00DB20D6"/>
    <w:rsid w:val="00DD098C"/>
    <w:rsid w:val="00DD420C"/>
    <w:rsid w:val="00DD7212"/>
    <w:rsid w:val="00E0249F"/>
    <w:rsid w:val="00E04C97"/>
    <w:rsid w:val="00E37395"/>
    <w:rsid w:val="00E55DD1"/>
    <w:rsid w:val="00E71B9E"/>
    <w:rsid w:val="00E732C2"/>
    <w:rsid w:val="00E7625A"/>
    <w:rsid w:val="00E83FC6"/>
    <w:rsid w:val="00E861F0"/>
    <w:rsid w:val="00E97A65"/>
    <w:rsid w:val="00EA3922"/>
    <w:rsid w:val="00EA7D95"/>
    <w:rsid w:val="00EB322D"/>
    <w:rsid w:val="00EB41B3"/>
    <w:rsid w:val="00ED2ECF"/>
    <w:rsid w:val="00EE7655"/>
    <w:rsid w:val="00EF2B82"/>
    <w:rsid w:val="00F15365"/>
    <w:rsid w:val="00F16851"/>
    <w:rsid w:val="00F21E16"/>
    <w:rsid w:val="00F54886"/>
    <w:rsid w:val="00F705A0"/>
    <w:rsid w:val="00F721CE"/>
    <w:rsid w:val="00F81BFA"/>
    <w:rsid w:val="00F81FA6"/>
    <w:rsid w:val="00F860A5"/>
    <w:rsid w:val="00F903E8"/>
    <w:rsid w:val="00F93AC8"/>
    <w:rsid w:val="00FA39F0"/>
    <w:rsid w:val="00FB7986"/>
    <w:rsid w:val="00FB7C81"/>
    <w:rsid w:val="00FD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0"/>
  <w15:docId w15:val="{FB4BD45A-2A2A-44E5-8DC4-E392DD0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1"/>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3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styleId="UnresolvedMention">
    <w:name w:val="Unresolved Mention"/>
    <w:basedOn w:val="DefaultParagraphFont"/>
    <w:uiPriority w:val="99"/>
    <w:semiHidden/>
    <w:unhideWhenUsed/>
    <w:rsid w:val="00F860A5"/>
    <w:rPr>
      <w:color w:val="605E5C"/>
      <w:shd w:val="clear" w:color="auto" w:fill="E1DFDD"/>
    </w:rPr>
  </w:style>
  <w:style w:type="character" w:styleId="PlaceholderText">
    <w:name w:val="Placeholder Text"/>
    <w:basedOn w:val="DefaultParagraphFont"/>
    <w:uiPriority w:val="99"/>
    <w:semiHidden/>
    <w:rsid w:val="00945109"/>
    <w:rPr>
      <w:color w:val="666666"/>
    </w:rPr>
  </w:style>
  <w:style w:type="character" w:styleId="CommentReference">
    <w:name w:val="annotation reference"/>
    <w:basedOn w:val="DefaultParagraphFont"/>
    <w:uiPriority w:val="99"/>
    <w:semiHidden/>
    <w:unhideWhenUsed/>
    <w:rsid w:val="00500920"/>
    <w:rPr>
      <w:sz w:val="16"/>
      <w:szCs w:val="16"/>
    </w:rPr>
  </w:style>
  <w:style w:type="paragraph" w:styleId="CommentText">
    <w:name w:val="annotation text"/>
    <w:basedOn w:val="Normal"/>
    <w:link w:val="CommentTextChar"/>
    <w:uiPriority w:val="99"/>
    <w:semiHidden/>
    <w:unhideWhenUsed/>
    <w:rsid w:val="00500920"/>
    <w:pPr>
      <w:spacing w:line="240" w:lineRule="auto"/>
    </w:pPr>
    <w:rPr>
      <w:sz w:val="20"/>
      <w:szCs w:val="20"/>
    </w:rPr>
  </w:style>
  <w:style w:type="character" w:customStyle="1" w:styleId="CommentTextChar">
    <w:name w:val="Comment Text Char"/>
    <w:basedOn w:val="DefaultParagraphFont"/>
    <w:link w:val="CommentText"/>
    <w:uiPriority w:val="99"/>
    <w:semiHidden/>
    <w:rsid w:val="00500920"/>
    <w:rPr>
      <w:rFonts w:cs="Times New Roman"/>
      <w:sz w:val="20"/>
      <w:szCs w:val="20"/>
    </w:rPr>
  </w:style>
  <w:style w:type="paragraph" w:styleId="CommentSubject">
    <w:name w:val="annotation subject"/>
    <w:basedOn w:val="CommentText"/>
    <w:next w:val="CommentText"/>
    <w:link w:val="CommentSubjectChar"/>
    <w:uiPriority w:val="99"/>
    <w:semiHidden/>
    <w:unhideWhenUsed/>
    <w:rsid w:val="00500920"/>
    <w:rPr>
      <w:b/>
      <w:bCs/>
    </w:rPr>
  </w:style>
  <w:style w:type="character" w:customStyle="1" w:styleId="CommentSubjectChar">
    <w:name w:val="Comment Subject Char"/>
    <w:basedOn w:val="CommentTextChar"/>
    <w:link w:val="CommentSubject"/>
    <w:uiPriority w:val="99"/>
    <w:semiHidden/>
    <w:rsid w:val="00500920"/>
    <w:rPr>
      <w:rFonts w:cs="Times New Roman"/>
      <w:b/>
      <w:bCs/>
      <w:sz w:val="20"/>
      <w:szCs w:val="20"/>
    </w:rPr>
  </w:style>
  <w:style w:type="paragraph" w:styleId="HTMLPreformatted">
    <w:name w:val="HTML Preformatted"/>
    <w:basedOn w:val="Normal"/>
    <w:link w:val="HTMLPreformattedChar"/>
    <w:uiPriority w:val="99"/>
    <w:unhideWhenUsed/>
    <w:rsid w:val="0050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500920"/>
    <w:rPr>
      <w:rFonts w:ascii="Courier New"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8150">
      <w:bodyDiv w:val="1"/>
      <w:marLeft w:val="0"/>
      <w:marRight w:val="0"/>
      <w:marTop w:val="0"/>
      <w:marBottom w:val="0"/>
      <w:divBdr>
        <w:top w:val="none" w:sz="0" w:space="0" w:color="auto"/>
        <w:left w:val="none" w:sz="0" w:space="0" w:color="auto"/>
        <w:bottom w:val="none" w:sz="0" w:space="0" w:color="auto"/>
        <w:right w:val="none" w:sz="0" w:space="0" w:color="auto"/>
      </w:divBdr>
    </w:div>
    <w:div w:id="313071441">
      <w:bodyDiv w:val="1"/>
      <w:marLeft w:val="0"/>
      <w:marRight w:val="0"/>
      <w:marTop w:val="0"/>
      <w:marBottom w:val="0"/>
      <w:divBdr>
        <w:top w:val="none" w:sz="0" w:space="0" w:color="auto"/>
        <w:left w:val="none" w:sz="0" w:space="0" w:color="auto"/>
        <w:bottom w:val="none" w:sz="0" w:space="0" w:color="auto"/>
        <w:right w:val="none" w:sz="0" w:space="0" w:color="auto"/>
      </w:divBdr>
    </w:div>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1081873792">
      <w:bodyDiv w:val="1"/>
      <w:marLeft w:val="0"/>
      <w:marRight w:val="0"/>
      <w:marTop w:val="0"/>
      <w:marBottom w:val="0"/>
      <w:divBdr>
        <w:top w:val="none" w:sz="0" w:space="0" w:color="auto"/>
        <w:left w:val="none" w:sz="0" w:space="0" w:color="auto"/>
        <w:bottom w:val="none" w:sz="0" w:space="0" w:color="auto"/>
        <w:right w:val="none" w:sz="0" w:space="0" w:color="auto"/>
      </w:divBdr>
    </w:div>
    <w:div w:id="1168666704">
      <w:bodyDiv w:val="1"/>
      <w:marLeft w:val="0"/>
      <w:marRight w:val="0"/>
      <w:marTop w:val="0"/>
      <w:marBottom w:val="0"/>
      <w:divBdr>
        <w:top w:val="none" w:sz="0" w:space="0" w:color="auto"/>
        <w:left w:val="none" w:sz="0" w:space="0" w:color="auto"/>
        <w:bottom w:val="none" w:sz="0" w:space="0" w:color="auto"/>
        <w:right w:val="none" w:sz="0" w:space="0" w:color="auto"/>
      </w:divBdr>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1623730075">
      <w:bodyDiv w:val="1"/>
      <w:marLeft w:val="0"/>
      <w:marRight w:val="0"/>
      <w:marTop w:val="0"/>
      <w:marBottom w:val="0"/>
      <w:divBdr>
        <w:top w:val="none" w:sz="0" w:space="0" w:color="auto"/>
        <w:left w:val="none" w:sz="0" w:space="0" w:color="auto"/>
        <w:bottom w:val="none" w:sz="0" w:space="0" w:color="auto"/>
        <w:right w:val="none" w:sz="0" w:space="0" w:color="auto"/>
      </w:divBdr>
    </w:div>
    <w:div w:id="1636906420">
      <w:bodyDiv w:val="1"/>
      <w:marLeft w:val="0"/>
      <w:marRight w:val="0"/>
      <w:marTop w:val="0"/>
      <w:marBottom w:val="0"/>
      <w:divBdr>
        <w:top w:val="none" w:sz="0" w:space="0" w:color="auto"/>
        <w:left w:val="none" w:sz="0" w:space="0" w:color="auto"/>
        <w:bottom w:val="none" w:sz="0" w:space="0" w:color="auto"/>
        <w:right w:val="none" w:sz="0" w:space="0" w:color="auto"/>
      </w:divBdr>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501">
      <w:bodyDiv w:val="1"/>
      <w:marLeft w:val="0"/>
      <w:marRight w:val="0"/>
      <w:marTop w:val="0"/>
      <w:marBottom w:val="0"/>
      <w:divBdr>
        <w:top w:val="none" w:sz="0" w:space="0" w:color="auto"/>
        <w:left w:val="none" w:sz="0" w:space="0" w:color="auto"/>
        <w:bottom w:val="none" w:sz="0" w:space="0" w:color="auto"/>
        <w:right w:val="none" w:sz="0" w:space="0" w:color="auto"/>
      </w:divBdr>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4.emf"/><Relationship Id="rId26" Type="http://schemas.openxmlformats.org/officeDocument/2006/relationships/hyperlink" Target="https://doi.org/10.37251/isej.v5i3.901" TargetMode="External"/><Relationship Id="rId39" Type="http://schemas.openxmlformats.org/officeDocument/2006/relationships/hyperlink" Target="https://doi.org/10.12973/ejmste/79329" TargetMode="External"/><Relationship Id="rId21" Type="http://schemas.openxmlformats.org/officeDocument/2006/relationships/image" Target="media/image7.emf"/><Relationship Id="rId34" Type="http://schemas.openxmlformats.org/officeDocument/2006/relationships/hyperlink" Target="https://doi.org/10.32591/coas.ojer.0402.04117s" TargetMode="External"/><Relationship Id="rId42" Type="http://schemas.openxmlformats.org/officeDocument/2006/relationships/hyperlink" Target="https://doi.org/10.11591/ijere.v11i1.21709"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hyperlink" Target="https://doi.org/10.1080/0142159X.2019.1612520" TargetMode="External"/><Relationship Id="rId11" Type="http://schemas.openxmlformats.org/officeDocument/2006/relationships/diagramData" Target="diagrams/data1.xml"/><Relationship Id="rId24" Type="http://schemas.openxmlformats.org/officeDocument/2006/relationships/hyperlink" Target="https://doi.org/10.59052/edufisika.v9i1.32225" TargetMode="External"/><Relationship Id="rId32" Type="http://schemas.openxmlformats.org/officeDocument/2006/relationships/hyperlink" Target="https://doi.org/10.37251/jee.v4i1.285" TargetMode="External"/><Relationship Id="rId37" Type="http://schemas.openxmlformats.org/officeDocument/2006/relationships/hyperlink" Target="https://doi.org/10.26417/143ofb27u" TargetMode="External"/><Relationship Id="rId40" Type="http://schemas.openxmlformats.org/officeDocument/2006/relationships/hyperlink" Target="https://doi.org/10.1080/1350293X.2020.1783924" TargetMode="External"/><Relationship Id="rId45" Type="http://schemas.openxmlformats.org/officeDocument/2006/relationships/hyperlink" Target="https://doi.org/10.1080/01443410.2020.181369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19" Type="http://schemas.openxmlformats.org/officeDocument/2006/relationships/image" Target="media/image5.emf"/><Relationship Id="rId31" Type="http://schemas.openxmlformats.org/officeDocument/2006/relationships/hyperlink" Target="https://doi.org/10.1080/10511970.2016.1251519" TargetMode="External"/><Relationship Id="rId44" Type="http://schemas.openxmlformats.org/officeDocument/2006/relationships/hyperlink" Target="https://doi.org/10.1109/TCOMM.2019.292401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https://doi.org/10.37251/isej.v5i3.1002" TargetMode="External"/><Relationship Id="rId27" Type="http://schemas.openxmlformats.org/officeDocument/2006/relationships/hyperlink" Target="https://doi.org/10.59052/edufisika.v9i2.36934" TargetMode="External"/><Relationship Id="rId30" Type="http://schemas.openxmlformats.org/officeDocument/2006/relationships/hyperlink" Target="https://doi.org/10.1080/08832323.2020.1757593" TargetMode="External"/><Relationship Id="rId35" Type="http://schemas.openxmlformats.org/officeDocument/2006/relationships/hyperlink" Target="https://doi.org/10.1080/0309877X.2016.1224329" TargetMode="External"/><Relationship Id="rId43" Type="http://schemas.openxmlformats.org/officeDocument/2006/relationships/hyperlink" Target="https://doi.org/10.1186/s40594-018-0142-3" TargetMode="External"/><Relationship Id="rId48" Type="http://schemas.openxmlformats.org/officeDocument/2006/relationships/footer" Target="footer1.xml"/><Relationship Id="rId8" Type="http://schemas.openxmlformats.org/officeDocument/2006/relationships/hyperlink" Target="https://creativecommons.org/licenses/by/4.0/"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image" Target="media/image3.emf"/><Relationship Id="rId25" Type="http://schemas.openxmlformats.org/officeDocument/2006/relationships/hyperlink" Target="https://doi.org/10.22437/teknopedagogi.v12i1.32490" TargetMode="External"/><Relationship Id="rId33" Type="http://schemas.openxmlformats.org/officeDocument/2006/relationships/hyperlink" Target="https://doi.org/10.7454/jki.v26i2.1136" TargetMode="External"/><Relationship Id="rId38" Type="http://schemas.openxmlformats.org/officeDocument/2006/relationships/hyperlink" Target="https://doi.org/10.22437/teknopedagogi.v13i1.36396" TargetMode="External"/><Relationship Id="rId46" Type="http://schemas.openxmlformats.org/officeDocument/2006/relationships/header" Target="header1.xml"/><Relationship Id="rId20" Type="http://schemas.openxmlformats.org/officeDocument/2006/relationships/image" Target="media/image6.emf"/><Relationship Id="rId41" Type="http://schemas.openxmlformats.org/officeDocument/2006/relationships/hyperlink" Target="https://doi.org/10.1007/s11858-020-0113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s://doi.org/10.11591/edulearn.v17i1.20530" TargetMode="External"/><Relationship Id="rId28" Type="http://schemas.openxmlformats.org/officeDocument/2006/relationships/hyperlink" Target="https://doi.org/10.31763/ijele.v2i1.85" TargetMode="External"/><Relationship Id="rId36" Type="http://schemas.openxmlformats.org/officeDocument/2006/relationships/hyperlink" Target="https://doi.org/10.1080/0142159X.2020.1762033" TargetMode="External"/><Relationship Id="rId49"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6B652F-EE3C-40E1-A275-5A69CDE16D2D}" type="doc">
      <dgm:prSet loTypeId="urn:microsoft.com/office/officeart/2005/8/layout/process1" loCatId="process" qsTypeId="urn:microsoft.com/office/officeart/2005/8/quickstyle/3d1" qsCatId="3D" csTypeId="urn:microsoft.com/office/officeart/2005/8/colors/accent2_2" csCatId="accent2" phldr="1"/>
      <dgm:spPr/>
      <dgm:t>
        <a:bodyPr/>
        <a:lstStyle/>
        <a:p>
          <a:endParaRPr lang="id-ID"/>
        </a:p>
      </dgm:t>
    </dgm:pt>
    <dgm:pt modelId="{B3B9D9A5-AE9C-40D3-BED2-5366A961402D}">
      <dgm:prSet phldrT="[Text]" custT="1"/>
      <dgm:spPr/>
      <dgm:t>
        <a:bodyPr/>
        <a:lstStyle/>
        <a:p>
          <a:r>
            <a:rPr lang="en-ID" sz="1050">
              <a:latin typeface="+mj-lt"/>
            </a:rPr>
            <a:t>Distribución de cuestionarios</a:t>
          </a:r>
          <a:endParaRPr lang="en" sz="1050">
            <a:latin typeface="+mj-lt"/>
          </a:endParaRPr>
        </a:p>
      </dgm:t>
    </dgm:pt>
    <dgm:pt modelId="{37ACC4E9-D9F3-4646-8E73-AA6FD2F85D51}" type="parTrans" cxnId="{A5051ACB-1D54-44B9-8C71-236E08A4D563}">
      <dgm:prSet/>
      <dgm:spPr/>
      <dgm:t>
        <a:bodyPr/>
        <a:lstStyle/>
        <a:p>
          <a:endParaRPr lang="id-ID"/>
        </a:p>
      </dgm:t>
    </dgm:pt>
    <dgm:pt modelId="{C2665382-F9BF-4D76-A11E-D2A75BCEFC35}" type="sibTrans" cxnId="{A5051ACB-1D54-44B9-8C71-236E08A4D563}">
      <dgm:prSet/>
      <dgm:spPr/>
      <dgm:t>
        <a:bodyPr/>
        <a:lstStyle/>
        <a:p>
          <a:endParaRPr lang="id-ID"/>
        </a:p>
      </dgm:t>
    </dgm:pt>
    <dgm:pt modelId="{48637D2C-E1EB-4889-8088-1CC1363756BE}">
      <dgm:prSet phldrT="[Text]" custT="1"/>
      <dgm:spPr/>
      <dgm:t>
        <a:bodyPr/>
        <a:lstStyle/>
        <a:p>
          <a:r>
            <a:rPr lang="en-ID" sz="1000">
              <a:latin typeface="+mj-lt"/>
            </a:rPr>
            <a:t>Análisis</a:t>
          </a:r>
          <a:endParaRPr lang="en" sz="1000">
            <a:latin typeface="+mj-lt"/>
          </a:endParaRPr>
        </a:p>
      </dgm:t>
    </dgm:pt>
    <dgm:pt modelId="{4B3E1124-C12A-4D86-8845-2CF83DBCA753}" type="parTrans" cxnId="{BE85878E-E669-4803-AE6A-AB7CE0EFE807}">
      <dgm:prSet/>
      <dgm:spPr/>
      <dgm:t>
        <a:bodyPr/>
        <a:lstStyle/>
        <a:p>
          <a:endParaRPr lang="id-ID"/>
        </a:p>
      </dgm:t>
    </dgm:pt>
    <dgm:pt modelId="{7AC6FF40-07EE-466B-8A27-C0ACA9735FE0}" type="sibTrans" cxnId="{BE85878E-E669-4803-AE6A-AB7CE0EFE807}">
      <dgm:prSet/>
      <dgm:spPr/>
      <dgm:t>
        <a:bodyPr/>
        <a:lstStyle/>
        <a:p>
          <a:endParaRPr lang="id-ID"/>
        </a:p>
      </dgm:t>
    </dgm:pt>
    <dgm:pt modelId="{F7987BAF-15F8-49AA-A4DA-78A81AC071D4}">
      <dgm:prSet phldrT="[Text]" custT="1"/>
      <dgm:spPr/>
      <dgm:t>
        <a:bodyPr/>
        <a:lstStyle/>
        <a:p>
          <a:r>
            <a:rPr lang="en-ID" sz="1000">
              <a:latin typeface="+mj-lt"/>
            </a:rPr>
            <a:t>Resultados</a:t>
          </a:r>
          <a:endParaRPr lang="en" sz="1000">
            <a:latin typeface="+mj-lt"/>
          </a:endParaRPr>
        </a:p>
      </dgm:t>
    </dgm:pt>
    <dgm:pt modelId="{207840CD-82A3-4825-8F77-254234139534}" type="parTrans" cxnId="{9B65AF4B-54E4-4B81-846E-F8F34BBD778E}">
      <dgm:prSet/>
      <dgm:spPr/>
      <dgm:t>
        <a:bodyPr/>
        <a:lstStyle/>
        <a:p>
          <a:endParaRPr lang="id-ID"/>
        </a:p>
      </dgm:t>
    </dgm:pt>
    <dgm:pt modelId="{62B773AD-D077-454C-B208-960912625A19}" type="sibTrans" cxnId="{9B65AF4B-54E4-4B81-846E-F8F34BBD778E}">
      <dgm:prSet/>
      <dgm:spPr/>
      <dgm:t>
        <a:bodyPr/>
        <a:lstStyle/>
        <a:p>
          <a:endParaRPr lang="id-ID"/>
        </a:p>
      </dgm:t>
    </dgm:pt>
    <dgm:pt modelId="{D2B1D932-BC9C-4A8F-91F5-C91263CB2010}">
      <dgm:prSet phldrT="[Text]" custT="1"/>
      <dgm:spPr/>
      <dgm:t>
        <a:bodyPr/>
        <a:lstStyle/>
        <a:p>
          <a:r>
            <a:rPr lang="en-ID" sz="1000">
              <a:latin typeface="+mj-lt"/>
            </a:rPr>
            <a:t>Conclusión</a:t>
          </a:r>
          <a:endParaRPr lang="en" sz="1000">
            <a:latin typeface="+mj-lt"/>
          </a:endParaRPr>
        </a:p>
      </dgm:t>
    </dgm:pt>
    <dgm:pt modelId="{C6ED38E3-25A5-4646-80A7-58CCC2566BAD}" type="parTrans" cxnId="{06846DBE-FB5F-4243-94C5-168389968F7C}">
      <dgm:prSet/>
      <dgm:spPr/>
      <dgm:t>
        <a:bodyPr/>
        <a:lstStyle/>
        <a:p>
          <a:endParaRPr lang="id-ID"/>
        </a:p>
      </dgm:t>
    </dgm:pt>
    <dgm:pt modelId="{7A5AD49F-FEC2-4863-8D0B-FAD261F19A22}" type="sibTrans" cxnId="{06846DBE-FB5F-4243-94C5-168389968F7C}">
      <dgm:prSet/>
      <dgm:spPr/>
      <dgm:t>
        <a:bodyPr/>
        <a:lstStyle/>
        <a:p>
          <a:endParaRPr lang="id-ID"/>
        </a:p>
      </dgm:t>
    </dgm:pt>
    <dgm:pt modelId="{3793FBCE-29BE-490F-9AB9-D80912AE067E}" type="pres">
      <dgm:prSet presAssocID="{A96B652F-EE3C-40E1-A275-5A69CDE16D2D}" presName="Name0" presStyleCnt="0">
        <dgm:presLayoutVars>
          <dgm:dir/>
          <dgm:resizeHandles val="exact"/>
        </dgm:presLayoutVars>
      </dgm:prSet>
      <dgm:spPr/>
    </dgm:pt>
    <dgm:pt modelId="{C301AF61-D6BC-407F-87D3-0E7FFE7BD9A9}" type="pres">
      <dgm:prSet presAssocID="{B3B9D9A5-AE9C-40D3-BED2-5366A961402D}" presName="node" presStyleLbl="node1" presStyleIdx="0" presStyleCnt="4">
        <dgm:presLayoutVars>
          <dgm:bulletEnabled val="1"/>
        </dgm:presLayoutVars>
      </dgm:prSet>
      <dgm:spPr/>
    </dgm:pt>
    <dgm:pt modelId="{35F40FD2-E67A-48AD-AFC8-F0A960B97E85}" type="pres">
      <dgm:prSet presAssocID="{C2665382-F9BF-4D76-A11E-D2A75BCEFC35}" presName="sibTrans" presStyleLbl="sibTrans2D1" presStyleIdx="0" presStyleCnt="3"/>
      <dgm:spPr/>
    </dgm:pt>
    <dgm:pt modelId="{B4803FF6-B803-4C72-AC58-292792FE6DCE}" type="pres">
      <dgm:prSet presAssocID="{C2665382-F9BF-4D76-A11E-D2A75BCEFC35}" presName="connectorText" presStyleLbl="sibTrans2D1" presStyleIdx="0" presStyleCnt="3"/>
      <dgm:spPr/>
    </dgm:pt>
    <dgm:pt modelId="{9BC89E98-795A-47D1-923C-B05A9D6D7F5D}" type="pres">
      <dgm:prSet presAssocID="{48637D2C-E1EB-4889-8088-1CC1363756BE}" presName="node" presStyleLbl="node1" presStyleIdx="1" presStyleCnt="4">
        <dgm:presLayoutVars>
          <dgm:bulletEnabled val="1"/>
        </dgm:presLayoutVars>
      </dgm:prSet>
      <dgm:spPr/>
    </dgm:pt>
    <dgm:pt modelId="{24FF59BE-435D-41A0-83F5-61649A5D0E99}" type="pres">
      <dgm:prSet presAssocID="{7AC6FF40-07EE-466B-8A27-C0ACA9735FE0}" presName="sibTrans" presStyleLbl="sibTrans2D1" presStyleIdx="1" presStyleCnt="3"/>
      <dgm:spPr/>
    </dgm:pt>
    <dgm:pt modelId="{99BFAEB3-D122-4555-BA4C-9DED150D7613}" type="pres">
      <dgm:prSet presAssocID="{7AC6FF40-07EE-466B-8A27-C0ACA9735FE0}" presName="connectorText" presStyleLbl="sibTrans2D1" presStyleIdx="1" presStyleCnt="3"/>
      <dgm:spPr/>
    </dgm:pt>
    <dgm:pt modelId="{CDC91AA8-2083-4A0D-8C5E-B118833CE75E}" type="pres">
      <dgm:prSet presAssocID="{F7987BAF-15F8-49AA-A4DA-78A81AC071D4}" presName="node" presStyleLbl="node1" presStyleIdx="2" presStyleCnt="4">
        <dgm:presLayoutVars>
          <dgm:bulletEnabled val="1"/>
        </dgm:presLayoutVars>
      </dgm:prSet>
      <dgm:spPr/>
    </dgm:pt>
    <dgm:pt modelId="{FF2BDD5A-0EFC-4A49-9491-54800F4559C9}" type="pres">
      <dgm:prSet presAssocID="{62B773AD-D077-454C-B208-960912625A19}" presName="sibTrans" presStyleLbl="sibTrans2D1" presStyleIdx="2" presStyleCnt="3"/>
      <dgm:spPr/>
    </dgm:pt>
    <dgm:pt modelId="{780B9502-3B73-4EAC-AF6F-B3FE9D14F29C}" type="pres">
      <dgm:prSet presAssocID="{62B773AD-D077-454C-B208-960912625A19}" presName="connectorText" presStyleLbl="sibTrans2D1" presStyleIdx="2" presStyleCnt="3"/>
      <dgm:spPr/>
    </dgm:pt>
    <dgm:pt modelId="{1B386839-2D69-4908-BCAD-FE7E63315C22}" type="pres">
      <dgm:prSet presAssocID="{D2B1D932-BC9C-4A8F-91F5-C91263CB2010}" presName="node" presStyleLbl="node1" presStyleIdx="3" presStyleCnt="4">
        <dgm:presLayoutVars>
          <dgm:bulletEnabled val="1"/>
        </dgm:presLayoutVars>
      </dgm:prSet>
      <dgm:spPr/>
    </dgm:pt>
  </dgm:ptLst>
  <dgm:cxnLst>
    <dgm:cxn modelId="{75D42A17-2400-474F-9320-0E3D7366F450}" type="presOf" srcId="{B3B9D9A5-AE9C-40D3-BED2-5366A961402D}" destId="{C301AF61-D6BC-407F-87D3-0E7FFE7BD9A9}" srcOrd="0" destOrd="0" presId="urn:microsoft.com/office/officeart/2005/8/layout/process1"/>
    <dgm:cxn modelId="{C106191C-64F2-4772-AA89-BFA63219B34A}" type="presOf" srcId="{F7987BAF-15F8-49AA-A4DA-78A81AC071D4}" destId="{CDC91AA8-2083-4A0D-8C5E-B118833CE75E}" srcOrd="0" destOrd="0" presId="urn:microsoft.com/office/officeart/2005/8/layout/process1"/>
    <dgm:cxn modelId="{D6DE7325-BD3C-4D73-A9C2-E1D8FF0AFE3F}" type="presOf" srcId="{C2665382-F9BF-4D76-A11E-D2A75BCEFC35}" destId="{35F40FD2-E67A-48AD-AFC8-F0A960B97E85}" srcOrd="0" destOrd="0" presId="urn:microsoft.com/office/officeart/2005/8/layout/process1"/>
    <dgm:cxn modelId="{1A72682E-82B2-4939-B379-5CBD695BEC8F}" type="presOf" srcId="{62B773AD-D077-454C-B208-960912625A19}" destId="{780B9502-3B73-4EAC-AF6F-B3FE9D14F29C}" srcOrd="1" destOrd="0" presId="urn:microsoft.com/office/officeart/2005/8/layout/process1"/>
    <dgm:cxn modelId="{9B65AF4B-54E4-4B81-846E-F8F34BBD778E}" srcId="{A96B652F-EE3C-40E1-A275-5A69CDE16D2D}" destId="{F7987BAF-15F8-49AA-A4DA-78A81AC071D4}" srcOrd="2" destOrd="0" parTransId="{207840CD-82A3-4825-8F77-254234139534}" sibTransId="{62B773AD-D077-454C-B208-960912625A19}"/>
    <dgm:cxn modelId="{83895F85-598B-4E8C-A2C0-5D72A66B4EE8}" type="presOf" srcId="{C2665382-F9BF-4D76-A11E-D2A75BCEFC35}" destId="{B4803FF6-B803-4C72-AC58-292792FE6DCE}" srcOrd="1" destOrd="0" presId="urn:microsoft.com/office/officeart/2005/8/layout/process1"/>
    <dgm:cxn modelId="{93A46C8C-1F04-4132-B8B8-8697018C8A97}" type="presOf" srcId="{A96B652F-EE3C-40E1-A275-5A69CDE16D2D}" destId="{3793FBCE-29BE-490F-9AB9-D80912AE067E}" srcOrd="0" destOrd="0" presId="urn:microsoft.com/office/officeart/2005/8/layout/process1"/>
    <dgm:cxn modelId="{BE85878E-E669-4803-AE6A-AB7CE0EFE807}" srcId="{A96B652F-EE3C-40E1-A275-5A69CDE16D2D}" destId="{48637D2C-E1EB-4889-8088-1CC1363756BE}" srcOrd="1" destOrd="0" parTransId="{4B3E1124-C12A-4D86-8845-2CF83DBCA753}" sibTransId="{7AC6FF40-07EE-466B-8A27-C0ACA9735FE0}"/>
    <dgm:cxn modelId="{DD2157A3-17B0-4500-8B7A-176ED09C3843}" type="presOf" srcId="{D2B1D932-BC9C-4A8F-91F5-C91263CB2010}" destId="{1B386839-2D69-4908-BCAD-FE7E63315C22}" srcOrd="0" destOrd="0" presId="urn:microsoft.com/office/officeart/2005/8/layout/process1"/>
    <dgm:cxn modelId="{06846DBE-FB5F-4243-94C5-168389968F7C}" srcId="{A96B652F-EE3C-40E1-A275-5A69CDE16D2D}" destId="{D2B1D932-BC9C-4A8F-91F5-C91263CB2010}" srcOrd="3" destOrd="0" parTransId="{C6ED38E3-25A5-4646-80A7-58CCC2566BAD}" sibTransId="{7A5AD49F-FEC2-4863-8D0B-FAD261F19A22}"/>
    <dgm:cxn modelId="{A5051ACB-1D54-44B9-8C71-236E08A4D563}" srcId="{A96B652F-EE3C-40E1-A275-5A69CDE16D2D}" destId="{B3B9D9A5-AE9C-40D3-BED2-5366A961402D}" srcOrd="0" destOrd="0" parTransId="{37ACC4E9-D9F3-4646-8E73-AA6FD2F85D51}" sibTransId="{C2665382-F9BF-4D76-A11E-D2A75BCEFC35}"/>
    <dgm:cxn modelId="{AF2B4DD4-0878-4026-A04F-BEFF39EADDFF}" type="presOf" srcId="{7AC6FF40-07EE-466B-8A27-C0ACA9735FE0}" destId="{99BFAEB3-D122-4555-BA4C-9DED150D7613}" srcOrd="1" destOrd="0" presId="urn:microsoft.com/office/officeart/2005/8/layout/process1"/>
    <dgm:cxn modelId="{82E453EC-C377-4F74-8DB9-9B0B4B82FB28}" type="presOf" srcId="{48637D2C-E1EB-4889-8088-1CC1363756BE}" destId="{9BC89E98-795A-47D1-923C-B05A9D6D7F5D}" srcOrd="0" destOrd="0" presId="urn:microsoft.com/office/officeart/2005/8/layout/process1"/>
    <dgm:cxn modelId="{FD8C46F6-01CB-405E-8394-2D1ACE9693EA}" type="presOf" srcId="{7AC6FF40-07EE-466B-8A27-C0ACA9735FE0}" destId="{24FF59BE-435D-41A0-83F5-61649A5D0E99}" srcOrd="0" destOrd="0" presId="urn:microsoft.com/office/officeart/2005/8/layout/process1"/>
    <dgm:cxn modelId="{9835DCFD-E897-4A4C-9B37-53D0FFF89A3A}" type="presOf" srcId="{62B773AD-D077-454C-B208-960912625A19}" destId="{FF2BDD5A-0EFC-4A49-9491-54800F4559C9}" srcOrd="0" destOrd="0" presId="urn:microsoft.com/office/officeart/2005/8/layout/process1"/>
    <dgm:cxn modelId="{25EF948A-7B04-499A-BF3C-04615A679402}" type="presParOf" srcId="{3793FBCE-29BE-490F-9AB9-D80912AE067E}" destId="{C301AF61-D6BC-407F-87D3-0E7FFE7BD9A9}" srcOrd="0" destOrd="0" presId="urn:microsoft.com/office/officeart/2005/8/layout/process1"/>
    <dgm:cxn modelId="{7C8D66F4-E6BE-406F-911C-D3EAAE878522}" type="presParOf" srcId="{3793FBCE-29BE-490F-9AB9-D80912AE067E}" destId="{35F40FD2-E67A-48AD-AFC8-F0A960B97E85}" srcOrd="1" destOrd="0" presId="urn:microsoft.com/office/officeart/2005/8/layout/process1"/>
    <dgm:cxn modelId="{25234FD7-8B58-488A-81BE-671E6C18F373}" type="presParOf" srcId="{35F40FD2-E67A-48AD-AFC8-F0A960B97E85}" destId="{B4803FF6-B803-4C72-AC58-292792FE6DCE}" srcOrd="0" destOrd="0" presId="urn:microsoft.com/office/officeart/2005/8/layout/process1"/>
    <dgm:cxn modelId="{A16EC72A-FD05-4DB1-8E90-D09FD2F3ACF9}" type="presParOf" srcId="{3793FBCE-29BE-490F-9AB9-D80912AE067E}" destId="{9BC89E98-795A-47D1-923C-B05A9D6D7F5D}" srcOrd="2" destOrd="0" presId="urn:microsoft.com/office/officeart/2005/8/layout/process1"/>
    <dgm:cxn modelId="{23BA5BD1-920D-4DDB-86F4-9AAFE718E58A}" type="presParOf" srcId="{3793FBCE-29BE-490F-9AB9-D80912AE067E}" destId="{24FF59BE-435D-41A0-83F5-61649A5D0E99}" srcOrd="3" destOrd="0" presId="urn:microsoft.com/office/officeart/2005/8/layout/process1"/>
    <dgm:cxn modelId="{2C52443C-FD79-419A-ACBA-932F54C7C896}" type="presParOf" srcId="{24FF59BE-435D-41A0-83F5-61649A5D0E99}" destId="{99BFAEB3-D122-4555-BA4C-9DED150D7613}" srcOrd="0" destOrd="0" presId="urn:microsoft.com/office/officeart/2005/8/layout/process1"/>
    <dgm:cxn modelId="{D4EA294D-4271-4ACF-9C79-110DE502A8ED}" type="presParOf" srcId="{3793FBCE-29BE-490F-9AB9-D80912AE067E}" destId="{CDC91AA8-2083-4A0D-8C5E-B118833CE75E}" srcOrd="4" destOrd="0" presId="urn:microsoft.com/office/officeart/2005/8/layout/process1"/>
    <dgm:cxn modelId="{1C2916F1-B188-4C65-861A-CFD2A5EE789E}" type="presParOf" srcId="{3793FBCE-29BE-490F-9AB9-D80912AE067E}" destId="{FF2BDD5A-0EFC-4A49-9491-54800F4559C9}" srcOrd="5" destOrd="0" presId="urn:microsoft.com/office/officeart/2005/8/layout/process1"/>
    <dgm:cxn modelId="{EA09C2AB-5E7A-4399-A1BB-940868F944E9}" type="presParOf" srcId="{FF2BDD5A-0EFC-4A49-9491-54800F4559C9}" destId="{780B9502-3B73-4EAC-AF6F-B3FE9D14F29C}" srcOrd="0" destOrd="0" presId="urn:microsoft.com/office/officeart/2005/8/layout/process1"/>
    <dgm:cxn modelId="{E5B9F823-7B81-403A-98DC-E4FE8448264C}" type="presParOf" srcId="{3793FBCE-29BE-490F-9AB9-D80912AE067E}" destId="{1B386839-2D69-4908-BCAD-FE7E63315C22}"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01AF61-D6BC-407F-87D3-0E7FFE7BD9A9}">
      <dsp:nvSpPr>
        <dsp:cNvPr id="0" name=""/>
        <dsp:cNvSpPr/>
      </dsp:nvSpPr>
      <dsp:spPr>
        <a:xfrm>
          <a:off x="2042" y="351077"/>
          <a:ext cx="893098" cy="56097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D" sz="1050" kern="1200">
              <a:latin typeface="+mj-lt"/>
            </a:rPr>
            <a:t>Distribución de cuestionarios</a:t>
          </a:r>
          <a:endParaRPr lang="en" sz="1050" kern="1200">
            <a:latin typeface="+mj-lt"/>
          </a:endParaRPr>
        </a:p>
      </dsp:txBody>
      <dsp:txXfrm>
        <a:off x="18472" y="367507"/>
        <a:ext cx="860238" cy="528117"/>
      </dsp:txXfrm>
    </dsp:sp>
    <dsp:sp modelId="{35F40FD2-E67A-48AD-AFC8-F0A960B97E85}">
      <dsp:nvSpPr>
        <dsp:cNvPr id="0" name=""/>
        <dsp:cNvSpPr/>
      </dsp:nvSpPr>
      <dsp:spPr>
        <a:xfrm>
          <a:off x="984451" y="520821"/>
          <a:ext cx="189336" cy="221488"/>
        </a:xfrm>
        <a:prstGeom prst="rightArrow">
          <a:avLst>
            <a:gd name="adj1" fmla="val 60000"/>
            <a:gd name="adj2" fmla="val 50000"/>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id-ID" sz="900" kern="1200"/>
        </a:p>
      </dsp:txBody>
      <dsp:txXfrm>
        <a:off x="984451" y="565119"/>
        <a:ext cx="132535" cy="132892"/>
      </dsp:txXfrm>
    </dsp:sp>
    <dsp:sp modelId="{9BC89E98-795A-47D1-923C-B05A9D6D7F5D}">
      <dsp:nvSpPr>
        <dsp:cNvPr id="0" name=""/>
        <dsp:cNvSpPr/>
      </dsp:nvSpPr>
      <dsp:spPr>
        <a:xfrm>
          <a:off x="1252381" y="351077"/>
          <a:ext cx="893098" cy="56097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latin typeface="+mj-lt"/>
            </a:rPr>
            <a:t>Análisis</a:t>
          </a:r>
          <a:endParaRPr lang="en" sz="1000" kern="1200">
            <a:latin typeface="+mj-lt"/>
          </a:endParaRPr>
        </a:p>
      </dsp:txBody>
      <dsp:txXfrm>
        <a:off x="1268811" y="367507"/>
        <a:ext cx="860238" cy="528117"/>
      </dsp:txXfrm>
    </dsp:sp>
    <dsp:sp modelId="{24FF59BE-435D-41A0-83F5-61649A5D0E99}">
      <dsp:nvSpPr>
        <dsp:cNvPr id="0" name=""/>
        <dsp:cNvSpPr/>
      </dsp:nvSpPr>
      <dsp:spPr>
        <a:xfrm>
          <a:off x="2234790" y="520821"/>
          <a:ext cx="189336" cy="221488"/>
        </a:xfrm>
        <a:prstGeom prst="rightArrow">
          <a:avLst>
            <a:gd name="adj1" fmla="val 60000"/>
            <a:gd name="adj2" fmla="val 50000"/>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id-ID" sz="900" kern="1200"/>
        </a:p>
      </dsp:txBody>
      <dsp:txXfrm>
        <a:off x="2234790" y="565119"/>
        <a:ext cx="132535" cy="132892"/>
      </dsp:txXfrm>
    </dsp:sp>
    <dsp:sp modelId="{CDC91AA8-2083-4A0D-8C5E-B118833CE75E}">
      <dsp:nvSpPr>
        <dsp:cNvPr id="0" name=""/>
        <dsp:cNvSpPr/>
      </dsp:nvSpPr>
      <dsp:spPr>
        <a:xfrm>
          <a:off x="2502719" y="351077"/>
          <a:ext cx="893098" cy="56097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latin typeface="+mj-lt"/>
            </a:rPr>
            <a:t>Resultados</a:t>
          </a:r>
          <a:endParaRPr lang="en" sz="1000" kern="1200">
            <a:latin typeface="+mj-lt"/>
          </a:endParaRPr>
        </a:p>
      </dsp:txBody>
      <dsp:txXfrm>
        <a:off x="2519149" y="367507"/>
        <a:ext cx="860238" cy="528117"/>
      </dsp:txXfrm>
    </dsp:sp>
    <dsp:sp modelId="{FF2BDD5A-0EFC-4A49-9491-54800F4559C9}">
      <dsp:nvSpPr>
        <dsp:cNvPr id="0" name=""/>
        <dsp:cNvSpPr/>
      </dsp:nvSpPr>
      <dsp:spPr>
        <a:xfrm>
          <a:off x="3485128" y="520821"/>
          <a:ext cx="189336" cy="221488"/>
        </a:xfrm>
        <a:prstGeom prst="rightArrow">
          <a:avLst>
            <a:gd name="adj1" fmla="val 60000"/>
            <a:gd name="adj2" fmla="val 50000"/>
          </a:avLst>
        </a:prstGeom>
        <a:gradFill rotWithShape="0">
          <a:gsLst>
            <a:gs pos="0">
              <a:schemeClr val="accent2">
                <a:tint val="60000"/>
                <a:hueOff val="0"/>
                <a:satOff val="0"/>
                <a:lumOff val="0"/>
                <a:alphaOff val="0"/>
                <a:satMod val="103000"/>
                <a:lumMod val="102000"/>
                <a:tint val="94000"/>
              </a:schemeClr>
            </a:gs>
            <a:gs pos="50000">
              <a:schemeClr val="accent2">
                <a:tint val="60000"/>
                <a:hueOff val="0"/>
                <a:satOff val="0"/>
                <a:lumOff val="0"/>
                <a:alphaOff val="0"/>
                <a:satMod val="110000"/>
                <a:lumMod val="100000"/>
                <a:shade val="100000"/>
              </a:schemeClr>
            </a:gs>
            <a:gs pos="100000">
              <a:schemeClr val="accent2">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id-ID" sz="900" kern="1200"/>
        </a:p>
      </dsp:txBody>
      <dsp:txXfrm>
        <a:off x="3485128" y="565119"/>
        <a:ext cx="132535" cy="132892"/>
      </dsp:txXfrm>
    </dsp:sp>
    <dsp:sp modelId="{1B386839-2D69-4908-BCAD-FE7E63315C22}">
      <dsp:nvSpPr>
        <dsp:cNvPr id="0" name=""/>
        <dsp:cNvSpPr/>
      </dsp:nvSpPr>
      <dsp:spPr>
        <a:xfrm>
          <a:off x="3753058" y="351077"/>
          <a:ext cx="893098" cy="56097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D" sz="1000" kern="1200">
              <a:latin typeface="+mj-lt"/>
            </a:rPr>
            <a:t>Conclusión</a:t>
          </a:r>
          <a:endParaRPr lang="en" sz="1000" kern="1200">
            <a:latin typeface="+mj-lt"/>
          </a:endParaRPr>
        </a:p>
      </dsp:txBody>
      <dsp:txXfrm>
        <a:off x="3769488" y="367507"/>
        <a:ext cx="860238" cy="5281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2FA3-C0D6-4554-BEF9-64E3F5B6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3916</TotalTime>
  <Pages>12</Pages>
  <Words>6671</Words>
  <Characters>38031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44613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27</cp:revision>
  <cp:lastPrinted>2019-07-12T01:40:00Z</cp:lastPrinted>
  <dcterms:created xsi:type="dcterms:W3CDTF">2021-09-03T06:52:00Z</dcterms:created>
  <dcterms:modified xsi:type="dcterms:W3CDTF">2024-10-20T20:46:00Z</dcterms:modified>
</cp:coreProperties>
</file>