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6D15D" w14:textId="150CF3B8" w:rsidR="00813814" w:rsidRDefault="00E174A5" w:rsidP="00406937">
      <w:pPr>
        <w:keepNext/>
        <w:widowControl/>
        <w:tabs>
          <w:tab w:val="left" w:pos="0"/>
        </w:tabs>
        <w:autoSpaceDE/>
        <w:autoSpaceDN/>
        <w:ind w:right="282" w:firstLine="426"/>
        <w:jc w:val="center"/>
        <w:outlineLvl w:val="0"/>
        <w:rPr>
          <w:b/>
          <w:sz w:val="30"/>
          <w:szCs w:val="30"/>
        </w:rPr>
      </w:pPr>
      <w:bookmarkStart w:id="0" w:name="_Toc436889158"/>
      <w:bookmarkStart w:id="1" w:name="_Toc436889507"/>
      <w:bookmarkStart w:id="2" w:name="_Toc436890480"/>
      <w:r>
        <w:rPr>
          <w:b/>
          <w:sz w:val="30"/>
          <w:szCs w:val="30"/>
        </w:rPr>
        <w:t xml:space="preserve">Effects of </w:t>
      </w:r>
      <w:r w:rsidR="00406937">
        <w:rPr>
          <w:b/>
          <w:sz w:val="30"/>
          <w:szCs w:val="30"/>
        </w:rPr>
        <w:t xml:space="preserve">financial </w:t>
      </w:r>
      <w:r w:rsidR="00406937" w:rsidRPr="00E174A5">
        <w:rPr>
          <w:b/>
          <w:sz w:val="30"/>
          <w:szCs w:val="30"/>
        </w:rPr>
        <w:t>development</w:t>
      </w:r>
      <w:r w:rsidR="00406937">
        <w:rPr>
          <w:b/>
          <w:sz w:val="30"/>
          <w:szCs w:val="30"/>
        </w:rPr>
        <w:t xml:space="preserve"> on</w:t>
      </w:r>
      <w:r w:rsidR="00406937" w:rsidRPr="00E174A5">
        <w:rPr>
          <w:b/>
          <w:sz w:val="30"/>
          <w:szCs w:val="30"/>
        </w:rPr>
        <w:t xml:space="preserve"> income inequality </w:t>
      </w:r>
      <w:r>
        <w:rPr>
          <w:b/>
          <w:sz w:val="30"/>
          <w:szCs w:val="30"/>
        </w:rPr>
        <w:t>i</w:t>
      </w:r>
      <w:r w:rsidRPr="00E174A5">
        <w:rPr>
          <w:b/>
          <w:sz w:val="30"/>
          <w:szCs w:val="30"/>
        </w:rPr>
        <w:t>n East Java Province</w:t>
      </w:r>
    </w:p>
    <w:p w14:paraId="317A6DF0" w14:textId="77777777" w:rsidR="001336DB" w:rsidRDefault="001336DB" w:rsidP="001336DB">
      <w:pPr>
        <w:keepNext/>
        <w:widowControl/>
        <w:tabs>
          <w:tab w:val="left" w:pos="576"/>
        </w:tabs>
        <w:autoSpaceDE/>
        <w:autoSpaceDN/>
        <w:ind w:left="576" w:hanging="576"/>
        <w:jc w:val="center"/>
        <w:outlineLvl w:val="0"/>
        <w:rPr>
          <w:rFonts w:cs="Arial"/>
          <w:b/>
          <w:bCs/>
          <w:kern w:val="32"/>
          <w:szCs w:val="32"/>
          <w:lang w:val="id-ID"/>
        </w:rPr>
      </w:pPr>
    </w:p>
    <w:p w14:paraId="4D5A9499" w14:textId="5078E68D" w:rsidR="009E3BA8" w:rsidRPr="00DD07D3" w:rsidRDefault="00C629BE" w:rsidP="001336DB">
      <w:pPr>
        <w:keepNext/>
        <w:widowControl/>
        <w:tabs>
          <w:tab w:val="left" w:pos="576"/>
        </w:tabs>
        <w:autoSpaceDE/>
        <w:autoSpaceDN/>
        <w:ind w:left="578" w:hanging="578"/>
        <w:jc w:val="center"/>
        <w:outlineLvl w:val="0"/>
        <w:rPr>
          <w:rFonts w:cs="Arial"/>
          <w:bCs/>
          <w:kern w:val="32"/>
          <w:sz w:val="26"/>
          <w:szCs w:val="26"/>
          <w:vertAlign w:val="superscript"/>
        </w:rPr>
      </w:pPr>
      <w:proofErr w:type="spellStart"/>
      <w:r>
        <w:rPr>
          <w:rFonts w:cs="Arial"/>
          <w:b/>
          <w:bCs/>
          <w:kern w:val="32"/>
          <w:sz w:val="26"/>
          <w:szCs w:val="26"/>
        </w:rPr>
        <w:t>Munawaroh</w:t>
      </w:r>
      <w:proofErr w:type="spellEnd"/>
      <w:r>
        <w:rPr>
          <w:rFonts w:cs="Arial"/>
          <w:b/>
          <w:bCs/>
          <w:kern w:val="32"/>
          <w:sz w:val="26"/>
          <w:szCs w:val="26"/>
        </w:rPr>
        <w:t xml:space="preserve"> </w:t>
      </w:r>
      <w:proofErr w:type="spellStart"/>
      <w:r>
        <w:rPr>
          <w:rFonts w:cs="Arial"/>
          <w:b/>
          <w:bCs/>
          <w:kern w:val="32"/>
          <w:sz w:val="26"/>
          <w:szCs w:val="26"/>
        </w:rPr>
        <w:t>Desty</w:t>
      </w:r>
      <w:proofErr w:type="spellEnd"/>
      <w:r>
        <w:rPr>
          <w:rFonts w:cs="Arial"/>
          <w:b/>
          <w:bCs/>
          <w:kern w:val="32"/>
          <w:sz w:val="26"/>
          <w:szCs w:val="26"/>
        </w:rPr>
        <w:t xml:space="preserve"> </w:t>
      </w:r>
      <w:proofErr w:type="spellStart"/>
      <w:r>
        <w:rPr>
          <w:rFonts w:cs="Arial"/>
          <w:b/>
          <w:bCs/>
          <w:kern w:val="32"/>
          <w:sz w:val="26"/>
          <w:szCs w:val="26"/>
        </w:rPr>
        <w:t>Anggraeni</w:t>
      </w:r>
      <w:proofErr w:type="spellEnd"/>
      <w:r w:rsidR="005640DC">
        <w:rPr>
          <w:rFonts w:cs="Arial"/>
          <w:b/>
          <w:bCs/>
          <w:kern w:val="32"/>
          <w:sz w:val="26"/>
          <w:szCs w:val="26"/>
        </w:rPr>
        <w:t>;</w:t>
      </w:r>
      <w:r w:rsidR="00A05D06">
        <w:rPr>
          <w:rFonts w:cs="Arial"/>
          <w:b/>
          <w:bCs/>
          <w:kern w:val="32"/>
          <w:sz w:val="26"/>
          <w:szCs w:val="26"/>
          <w:lang w:val="id-ID"/>
        </w:rPr>
        <w:t xml:space="preserve"> </w:t>
      </w:r>
      <w:proofErr w:type="spellStart"/>
      <w:r>
        <w:rPr>
          <w:rFonts w:cs="Arial"/>
          <w:b/>
          <w:bCs/>
          <w:kern w:val="32"/>
          <w:sz w:val="26"/>
          <w:szCs w:val="26"/>
        </w:rPr>
        <w:t>Ris</w:t>
      </w:r>
      <w:proofErr w:type="spellEnd"/>
      <w:r w:rsidR="00DD07D3">
        <w:rPr>
          <w:rFonts w:cs="Arial"/>
          <w:b/>
          <w:bCs/>
          <w:kern w:val="32"/>
          <w:sz w:val="26"/>
          <w:szCs w:val="26"/>
        </w:rPr>
        <w:t xml:space="preserve"> </w:t>
      </w:r>
      <w:proofErr w:type="spellStart"/>
      <w:r w:rsidR="00DD07D3">
        <w:rPr>
          <w:rFonts w:cs="Arial"/>
          <w:b/>
          <w:bCs/>
          <w:kern w:val="32"/>
          <w:sz w:val="26"/>
          <w:szCs w:val="26"/>
        </w:rPr>
        <w:t>Yuwono</w:t>
      </w:r>
      <w:proofErr w:type="spellEnd"/>
      <w:r w:rsidR="00DD07D3">
        <w:rPr>
          <w:rFonts w:cs="Arial"/>
          <w:b/>
          <w:bCs/>
          <w:kern w:val="32"/>
          <w:sz w:val="26"/>
          <w:szCs w:val="26"/>
        </w:rPr>
        <w:t xml:space="preserve"> </w:t>
      </w:r>
      <w:proofErr w:type="spellStart"/>
      <w:r w:rsidR="00DD07D3">
        <w:rPr>
          <w:rFonts w:cs="Arial"/>
          <w:b/>
          <w:bCs/>
          <w:kern w:val="32"/>
          <w:sz w:val="26"/>
          <w:szCs w:val="26"/>
        </w:rPr>
        <w:t>Yudo</w:t>
      </w:r>
      <w:proofErr w:type="spellEnd"/>
      <w:r w:rsidR="00DD07D3">
        <w:rPr>
          <w:rFonts w:cs="Arial"/>
          <w:b/>
          <w:bCs/>
          <w:kern w:val="32"/>
          <w:sz w:val="26"/>
          <w:szCs w:val="26"/>
        </w:rPr>
        <w:t xml:space="preserve"> Nugroho</w:t>
      </w:r>
      <w:r w:rsidR="00DD07D3">
        <w:rPr>
          <w:rFonts w:cs="Arial"/>
          <w:bCs/>
          <w:kern w:val="32"/>
          <w:sz w:val="26"/>
          <w:szCs w:val="26"/>
          <w:vertAlign w:val="superscript"/>
        </w:rPr>
        <w:t>*</w:t>
      </w:r>
    </w:p>
    <w:p w14:paraId="2703888A" w14:textId="77777777" w:rsidR="00277ED5" w:rsidRPr="00B13024" w:rsidRDefault="00277ED5" w:rsidP="001336DB">
      <w:pPr>
        <w:keepNext/>
        <w:widowControl/>
        <w:tabs>
          <w:tab w:val="left" w:pos="576"/>
        </w:tabs>
        <w:autoSpaceDE/>
        <w:autoSpaceDN/>
        <w:ind w:left="578" w:hanging="578"/>
        <w:jc w:val="center"/>
        <w:outlineLvl w:val="0"/>
        <w:rPr>
          <w:rFonts w:cs="Arial"/>
          <w:b/>
          <w:bCs/>
          <w:kern w:val="32"/>
          <w:sz w:val="26"/>
          <w:szCs w:val="26"/>
        </w:rPr>
      </w:pPr>
    </w:p>
    <w:p w14:paraId="4D99D4EC" w14:textId="493197E6" w:rsidR="0015287F" w:rsidRPr="00432041" w:rsidRDefault="0015287F" w:rsidP="001336DB">
      <w:pPr>
        <w:keepNext/>
        <w:widowControl/>
        <w:tabs>
          <w:tab w:val="left" w:pos="576"/>
        </w:tabs>
        <w:autoSpaceDE/>
        <w:autoSpaceDN/>
        <w:ind w:left="576" w:hanging="576"/>
        <w:jc w:val="center"/>
        <w:outlineLvl w:val="0"/>
        <w:rPr>
          <w:lang w:val="id-ID"/>
        </w:rPr>
      </w:pPr>
      <w:r w:rsidRPr="0015287F">
        <w:rPr>
          <w:lang w:val="id-ID"/>
        </w:rPr>
        <w:t xml:space="preserve">Faculty of Economics and </w:t>
      </w:r>
      <w:r w:rsidR="00277ED5">
        <w:rPr>
          <w:lang w:val="id-ID"/>
        </w:rPr>
        <w:t xml:space="preserve">Business, Trunojoyo </w:t>
      </w:r>
      <w:r w:rsidR="0068232F">
        <w:t>University</w:t>
      </w:r>
      <w:r w:rsidRPr="0015287F">
        <w:rPr>
          <w:lang w:val="id-ID"/>
        </w:rPr>
        <w:t>, Indonesia</w:t>
      </w:r>
    </w:p>
    <w:p w14:paraId="218A43D1" w14:textId="77777777" w:rsidR="00A05D06" w:rsidRDefault="00A05D06" w:rsidP="001336DB">
      <w:pPr>
        <w:keepNext/>
        <w:widowControl/>
        <w:tabs>
          <w:tab w:val="left" w:pos="576"/>
        </w:tabs>
        <w:autoSpaceDE/>
        <w:autoSpaceDN/>
        <w:ind w:left="576" w:hanging="576"/>
        <w:jc w:val="center"/>
        <w:outlineLvl w:val="0"/>
        <w:rPr>
          <w:lang w:val="id-ID"/>
        </w:rPr>
      </w:pPr>
    </w:p>
    <w:p w14:paraId="505879D9" w14:textId="77777777" w:rsidR="003A4988" w:rsidRPr="00C3300B" w:rsidRDefault="00432041" w:rsidP="00406937">
      <w:pPr>
        <w:keepNext/>
        <w:widowControl/>
        <w:tabs>
          <w:tab w:val="left" w:pos="576"/>
        </w:tabs>
        <w:autoSpaceDE/>
        <w:autoSpaceDN/>
        <w:spacing w:after="120"/>
        <w:ind w:left="578" w:hanging="578"/>
        <w:jc w:val="center"/>
        <w:outlineLvl w:val="0"/>
        <w:rPr>
          <w:rFonts w:cs="Arial"/>
          <w:bCs/>
          <w:kern w:val="32"/>
          <w:szCs w:val="32"/>
          <w:lang w:val="id-ID"/>
        </w:rPr>
      </w:pPr>
      <w:r>
        <w:t>*</w:t>
      </w:r>
      <w:r w:rsidR="0003755C" w:rsidRPr="00432041">
        <w:rPr>
          <w:i/>
        </w:rPr>
        <w:t xml:space="preserve">To whom correspondence should </w:t>
      </w:r>
      <w:r w:rsidRPr="00432041">
        <w:rPr>
          <w:i/>
        </w:rPr>
        <w:t xml:space="preserve">be addressed: </w:t>
      </w:r>
      <w:proofErr w:type="spellStart"/>
      <w:r>
        <w:rPr>
          <w:i/>
        </w:rPr>
        <w:t>Email:</w:t>
      </w:r>
      <w:r w:rsidR="00881B5C">
        <w:rPr>
          <w:i/>
        </w:rPr>
        <w:t>ris.nugroho</w:t>
      </w:r>
      <w:r>
        <w:rPr>
          <w:i/>
        </w:rPr>
        <w:t>@</w:t>
      </w:r>
      <w:r w:rsidR="00881B5C">
        <w:rPr>
          <w:i/>
        </w:rPr>
        <w:t>trunojoyo.ac.id</w:t>
      </w:r>
      <w:proofErr w:type="spellEnd"/>
    </w:p>
    <w:bookmarkEnd w:id="0"/>
    <w:bookmarkEnd w:id="1"/>
    <w:bookmarkEnd w:id="2"/>
    <w:p w14:paraId="6D475A43" w14:textId="77777777" w:rsidR="00813814" w:rsidRDefault="00813814" w:rsidP="001336DB">
      <w:pPr>
        <w:widowControl/>
        <w:autoSpaceDE/>
        <w:autoSpaceDN/>
        <w:jc w:val="center"/>
        <w:rPr>
          <w:b/>
        </w:rPr>
      </w:pPr>
    </w:p>
    <w:tbl>
      <w:tblPr>
        <w:tblStyle w:val="TableGrid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1574"/>
        <w:gridCol w:w="1455"/>
        <w:gridCol w:w="1532"/>
        <w:gridCol w:w="1388"/>
      </w:tblGrid>
      <w:tr w:rsidR="00B25636" w:rsidRPr="005A5A54" w14:paraId="7E7E1F6A" w14:textId="77777777" w:rsidTr="003B67D7">
        <w:tc>
          <w:tcPr>
            <w:tcW w:w="2448" w:type="dxa"/>
          </w:tcPr>
          <w:p w14:paraId="7E0655A7" w14:textId="5D9ADE26" w:rsidR="005640DC" w:rsidRPr="005A5A54" w:rsidRDefault="005640DC" w:rsidP="003B67D7">
            <w:pPr>
              <w:spacing w:line="233" w:lineRule="auto"/>
              <w:rPr>
                <w:rFonts w:eastAsia="Times New Roman"/>
                <w:sz w:val="20"/>
                <w:szCs w:val="20"/>
              </w:rPr>
            </w:pPr>
            <w:r w:rsidRPr="005A5A54">
              <w:rPr>
                <w:rFonts w:eastAsia="Times New Roman"/>
                <w:sz w:val="20"/>
                <w:szCs w:val="20"/>
              </w:rPr>
              <w:t>DOI: 10.22437/ppd.v8i</w:t>
            </w:r>
            <w:r>
              <w:rPr>
                <w:rFonts w:eastAsia="Times New Roman"/>
                <w:sz w:val="20"/>
                <w:szCs w:val="20"/>
              </w:rPr>
              <w:t>5</w:t>
            </w:r>
            <w:r w:rsidRPr="005A5A54">
              <w:rPr>
                <w:rFonts w:eastAsia="Times New Roman"/>
                <w:sz w:val="20"/>
                <w:szCs w:val="20"/>
              </w:rPr>
              <w:t>.</w:t>
            </w:r>
            <w:r>
              <w:rPr>
                <w:rFonts w:eastAsia="Times New Roman"/>
                <w:sz w:val="20"/>
                <w:szCs w:val="20"/>
              </w:rPr>
              <w:t>10</w:t>
            </w:r>
            <w:r w:rsidR="00EB3459">
              <w:rPr>
                <w:rFonts w:eastAsia="Times New Roman"/>
                <w:sz w:val="20"/>
                <w:szCs w:val="20"/>
                <w:lang w:val="en-US"/>
              </w:rPr>
              <w:t>221</w:t>
            </w:r>
            <w:r w:rsidRPr="005A5A54">
              <w:rPr>
                <w:rFonts w:eastAsia="Times New Roman"/>
                <w:sz w:val="20"/>
                <w:szCs w:val="20"/>
              </w:rPr>
              <w:t xml:space="preserve">  </w:t>
            </w:r>
          </w:p>
        </w:tc>
        <w:tc>
          <w:tcPr>
            <w:tcW w:w="1604" w:type="dxa"/>
          </w:tcPr>
          <w:p w14:paraId="5410DE0E" w14:textId="0F477C07" w:rsidR="005640DC" w:rsidRPr="005A5A54" w:rsidRDefault="005640DC" w:rsidP="003B67D7">
            <w:pPr>
              <w:spacing w:line="233" w:lineRule="auto"/>
              <w:ind w:right="-108"/>
              <w:rPr>
                <w:rFonts w:eastAsia="Times New Roman"/>
                <w:sz w:val="20"/>
                <w:szCs w:val="20"/>
              </w:rPr>
            </w:pPr>
            <w:r w:rsidRPr="005A5A54">
              <w:rPr>
                <w:rFonts w:eastAsia="Times New Roman"/>
                <w:sz w:val="20"/>
                <w:szCs w:val="20"/>
              </w:rPr>
              <w:t>R</w:t>
            </w:r>
            <w:r>
              <w:rPr>
                <w:rFonts w:eastAsia="Times New Roman"/>
                <w:sz w:val="20"/>
                <w:szCs w:val="20"/>
              </w:rPr>
              <w:t xml:space="preserve">eceived: </w:t>
            </w:r>
            <w:r w:rsidR="00B25636">
              <w:rPr>
                <w:rFonts w:eastAsia="Times New Roman"/>
                <w:sz w:val="20"/>
                <w:szCs w:val="20"/>
                <w:lang w:val="en-US"/>
              </w:rPr>
              <w:t>06</w:t>
            </w:r>
            <w:r w:rsidRPr="005A5A54">
              <w:rPr>
                <w:rFonts w:eastAsia="Times New Roman"/>
                <w:sz w:val="20"/>
                <w:szCs w:val="20"/>
              </w:rPr>
              <w:t>.0</w:t>
            </w:r>
            <w:r w:rsidR="00B25636">
              <w:rPr>
                <w:rFonts w:eastAsia="Times New Roman"/>
                <w:sz w:val="20"/>
                <w:szCs w:val="20"/>
                <w:lang w:val="en-US"/>
              </w:rPr>
              <w:t>8</w:t>
            </w:r>
            <w:r w:rsidRPr="005A5A54">
              <w:rPr>
                <w:rFonts w:eastAsia="Times New Roman"/>
                <w:sz w:val="20"/>
                <w:szCs w:val="20"/>
              </w:rPr>
              <w:t>.2020</w:t>
            </w:r>
          </w:p>
        </w:tc>
        <w:tc>
          <w:tcPr>
            <w:tcW w:w="1477" w:type="dxa"/>
          </w:tcPr>
          <w:p w14:paraId="262398A1" w14:textId="4BE62986" w:rsidR="005640DC" w:rsidRPr="005A5A54" w:rsidRDefault="005640DC" w:rsidP="003B67D7">
            <w:pPr>
              <w:spacing w:line="233" w:lineRule="auto"/>
              <w:ind w:right="-108"/>
              <w:rPr>
                <w:rFonts w:eastAsia="Times New Roman"/>
                <w:sz w:val="20"/>
                <w:szCs w:val="20"/>
              </w:rPr>
            </w:pPr>
            <w:r w:rsidRPr="005A5A54">
              <w:rPr>
                <w:rFonts w:eastAsia="Times New Roman"/>
                <w:sz w:val="20"/>
                <w:szCs w:val="20"/>
              </w:rPr>
              <w:t>R</w:t>
            </w:r>
            <w:r>
              <w:rPr>
                <w:rFonts w:eastAsia="Times New Roman"/>
                <w:sz w:val="20"/>
                <w:szCs w:val="20"/>
              </w:rPr>
              <w:t>evised: 2</w:t>
            </w:r>
            <w:r w:rsidR="00B25636">
              <w:rPr>
                <w:rFonts w:eastAsia="Times New Roman"/>
                <w:sz w:val="20"/>
                <w:szCs w:val="20"/>
                <w:lang w:val="en-US"/>
              </w:rPr>
              <w:t>0</w:t>
            </w:r>
            <w:r w:rsidRPr="005A5A54">
              <w:rPr>
                <w:rFonts w:eastAsia="Times New Roman"/>
                <w:sz w:val="20"/>
                <w:szCs w:val="20"/>
              </w:rPr>
              <w:t>.</w:t>
            </w:r>
            <w:r w:rsidR="00B25636">
              <w:rPr>
                <w:rFonts w:eastAsia="Times New Roman"/>
                <w:sz w:val="20"/>
                <w:szCs w:val="20"/>
                <w:lang w:val="en-US"/>
              </w:rPr>
              <w:t>11</w:t>
            </w:r>
            <w:r w:rsidRPr="005A5A54">
              <w:rPr>
                <w:rFonts w:eastAsia="Times New Roman"/>
                <w:sz w:val="20"/>
                <w:szCs w:val="20"/>
              </w:rPr>
              <w:t>.2020</w:t>
            </w:r>
          </w:p>
        </w:tc>
        <w:tc>
          <w:tcPr>
            <w:tcW w:w="1559" w:type="dxa"/>
          </w:tcPr>
          <w:p w14:paraId="3EA30E4A" w14:textId="1AA4059A" w:rsidR="005640DC" w:rsidRPr="005A5A54" w:rsidRDefault="005640DC" w:rsidP="003B67D7">
            <w:pPr>
              <w:spacing w:line="233" w:lineRule="auto"/>
              <w:ind w:right="-108"/>
              <w:rPr>
                <w:rFonts w:eastAsia="Times New Roman"/>
                <w:sz w:val="20"/>
                <w:szCs w:val="20"/>
              </w:rPr>
            </w:pPr>
            <w:r w:rsidRPr="005A5A54">
              <w:rPr>
                <w:rFonts w:eastAsia="Times New Roman"/>
                <w:sz w:val="20"/>
                <w:szCs w:val="20"/>
              </w:rPr>
              <w:t xml:space="preserve">Accepted: </w:t>
            </w:r>
            <w:r w:rsidR="00B25636">
              <w:rPr>
                <w:rFonts w:eastAsia="Times New Roman"/>
                <w:sz w:val="20"/>
                <w:szCs w:val="20"/>
                <w:lang w:val="en-US"/>
              </w:rPr>
              <w:t>13</w:t>
            </w:r>
            <w:r w:rsidRPr="005A5A54">
              <w:rPr>
                <w:rFonts w:eastAsia="Times New Roman"/>
                <w:sz w:val="20"/>
                <w:szCs w:val="20"/>
              </w:rPr>
              <w:t>.</w:t>
            </w:r>
            <w:r>
              <w:rPr>
                <w:rFonts w:eastAsia="Times New Roman"/>
                <w:sz w:val="20"/>
                <w:szCs w:val="20"/>
              </w:rPr>
              <w:t>1</w:t>
            </w:r>
            <w:r w:rsidR="00B25636">
              <w:rPr>
                <w:rFonts w:eastAsia="Times New Roman"/>
                <w:sz w:val="20"/>
                <w:szCs w:val="20"/>
                <w:lang w:val="en-US"/>
              </w:rPr>
              <w:t>2</w:t>
            </w:r>
            <w:r w:rsidRPr="005A5A54">
              <w:rPr>
                <w:rFonts w:eastAsia="Times New Roman"/>
                <w:sz w:val="20"/>
                <w:szCs w:val="20"/>
              </w:rPr>
              <w:t>.2020</w:t>
            </w:r>
          </w:p>
        </w:tc>
        <w:tc>
          <w:tcPr>
            <w:tcW w:w="1406" w:type="dxa"/>
          </w:tcPr>
          <w:p w14:paraId="1067F065" w14:textId="1ACAAA67" w:rsidR="005640DC" w:rsidRPr="005A5A54" w:rsidRDefault="005640DC" w:rsidP="003B67D7">
            <w:pPr>
              <w:spacing w:line="233" w:lineRule="auto"/>
              <w:ind w:right="-108"/>
              <w:rPr>
                <w:rFonts w:eastAsia="Times New Roman"/>
                <w:sz w:val="20"/>
                <w:szCs w:val="20"/>
              </w:rPr>
            </w:pPr>
            <w:r w:rsidRPr="005A5A54">
              <w:rPr>
                <w:rFonts w:eastAsia="Times New Roman"/>
                <w:sz w:val="20"/>
                <w:szCs w:val="20"/>
              </w:rPr>
              <w:t xml:space="preserve">Published: </w:t>
            </w:r>
            <w:r>
              <w:rPr>
                <w:rFonts w:eastAsia="Times New Roman"/>
                <w:sz w:val="20"/>
                <w:szCs w:val="20"/>
              </w:rPr>
              <w:t>3</w:t>
            </w:r>
            <w:r w:rsidR="008B7C41">
              <w:rPr>
                <w:rFonts w:eastAsia="Times New Roman"/>
                <w:sz w:val="20"/>
                <w:szCs w:val="20"/>
                <w:lang w:val="en-US"/>
              </w:rPr>
              <w:t>1</w:t>
            </w:r>
            <w:r w:rsidRPr="005A5A54">
              <w:rPr>
                <w:rFonts w:eastAsia="Times New Roman"/>
                <w:sz w:val="20"/>
                <w:szCs w:val="20"/>
              </w:rPr>
              <w:t>.</w:t>
            </w:r>
            <w:r>
              <w:rPr>
                <w:rFonts w:eastAsia="Times New Roman"/>
                <w:sz w:val="20"/>
                <w:szCs w:val="20"/>
              </w:rPr>
              <w:t>12</w:t>
            </w:r>
            <w:r w:rsidRPr="005A5A54">
              <w:rPr>
                <w:rFonts w:eastAsia="Times New Roman"/>
                <w:sz w:val="20"/>
                <w:szCs w:val="20"/>
              </w:rPr>
              <w:t>.2020</w:t>
            </w:r>
          </w:p>
        </w:tc>
      </w:tr>
    </w:tbl>
    <w:p w14:paraId="655EB3C6" w14:textId="30413375" w:rsidR="00C3300B" w:rsidRDefault="00C3300B" w:rsidP="001336DB">
      <w:pPr>
        <w:ind w:right="15"/>
        <w:jc w:val="both"/>
        <w:rPr>
          <w:b/>
          <w:lang w:val="id-ID"/>
        </w:rPr>
      </w:pPr>
    </w:p>
    <w:p w14:paraId="28BD377C" w14:textId="77777777" w:rsidR="005640DC" w:rsidRDefault="005640DC" w:rsidP="001336DB">
      <w:pPr>
        <w:ind w:right="15"/>
        <w:jc w:val="both"/>
        <w:rPr>
          <w:b/>
          <w:lang w:val="id-ID"/>
        </w:rPr>
      </w:pPr>
    </w:p>
    <w:p w14:paraId="7D23A172" w14:textId="77777777" w:rsidR="00C3300B" w:rsidRPr="00277138" w:rsidRDefault="00C3300B" w:rsidP="001336DB">
      <w:pPr>
        <w:ind w:right="15"/>
        <w:jc w:val="both"/>
        <w:rPr>
          <w:i/>
          <w:sz w:val="22"/>
          <w:szCs w:val="22"/>
        </w:rPr>
      </w:pPr>
      <w:r>
        <w:rPr>
          <w:b/>
          <w:lang w:val="id-ID"/>
        </w:rPr>
        <w:t>Abs</w:t>
      </w:r>
      <w:r w:rsidR="00881B5C">
        <w:rPr>
          <w:b/>
        </w:rPr>
        <w:t>t</w:t>
      </w:r>
      <w:r w:rsidR="00277138">
        <w:rPr>
          <w:b/>
        </w:rPr>
        <w:t>ra</w:t>
      </w:r>
      <w:r w:rsidR="00E174A5">
        <w:rPr>
          <w:b/>
        </w:rPr>
        <w:t>ct</w:t>
      </w:r>
    </w:p>
    <w:p w14:paraId="5AF58F8B" w14:textId="4B81EA32" w:rsidR="00781583" w:rsidRDefault="00CE684F" w:rsidP="001336DB">
      <w:pPr>
        <w:tabs>
          <w:tab w:val="left" w:pos="2410"/>
        </w:tabs>
        <w:jc w:val="both"/>
      </w:pPr>
      <w:r w:rsidRPr="00CE684F">
        <w:t xml:space="preserve">The research purposes are: (1) to determine the effect of financial sector development on income inequality in East Java Province, (2) to determine the effect of regional characteristics on income inequality in East Java Province. The study uses descriptive quantitative methods. </w:t>
      </w:r>
      <w:r w:rsidR="00EC26FF">
        <w:t>T</w:t>
      </w:r>
      <w:r w:rsidRPr="00CE684F">
        <w:t>he analysis method uses panel data regression with time series from 2013 to 2017 and cross-sections of 38 districts in East Java Province. The study results are as follows:</w:t>
      </w:r>
      <w:r w:rsidR="00A6160D">
        <w:t xml:space="preserve"> </w:t>
      </w:r>
      <w:r w:rsidR="005254C9">
        <w:t xml:space="preserve">(1) financial development has a negative and significant effect on income inequality, (2) </w:t>
      </w:r>
      <w:r>
        <w:t xml:space="preserve">the </w:t>
      </w:r>
      <w:r w:rsidR="00277ED5">
        <w:t xml:space="preserve">regional budget </w:t>
      </w:r>
      <w:r w:rsidR="005254C9">
        <w:t>has a positive and significant effect on income inequality in East Java Province, (3) population density has a positive and significant effect on income inequality, (4) poverty has a positive and significan</w:t>
      </w:r>
      <w:r w:rsidR="00277ED5">
        <w:t xml:space="preserve">t effect on income inequality, </w:t>
      </w:r>
      <w:r w:rsidR="005254C9">
        <w:t>and (5) unemployment has no influence and is not significant in income inequality.</w:t>
      </w:r>
    </w:p>
    <w:p w14:paraId="5E841B27" w14:textId="77777777" w:rsidR="00DC790A" w:rsidRPr="00C3300B" w:rsidRDefault="009F414A" w:rsidP="001336DB">
      <w:pPr>
        <w:ind w:right="15"/>
        <w:jc w:val="both"/>
        <w:rPr>
          <w:sz w:val="22"/>
          <w:szCs w:val="22"/>
          <w:lang w:val="id-ID"/>
        </w:rPr>
      </w:pPr>
      <w:r>
        <w:rPr>
          <w:noProof/>
        </w:rPr>
        <mc:AlternateContent>
          <mc:Choice Requires="wps">
            <w:drawing>
              <wp:anchor distT="4294967295" distB="4294967295" distL="114300" distR="114300" simplePos="0" relativeHeight="251657728" behindDoc="0" locked="0" layoutInCell="1" allowOverlap="1" wp14:anchorId="224FF4D2" wp14:editId="6F62946E">
                <wp:simplePos x="0" y="0"/>
                <wp:positionH relativeFrom="column">
                  <wp:posOffset>-3175</wp:posOffset>
                </wp:positionH>
                <wp:positionV relativeFrom="paragraph">
                  <wp:posOffset>71754</wp:posOffset>
                </wp:positionV>
                <wp:extent cx="5362575" cy="0"/>
                <wp:effectExtent l="0" t="0" r="0" b="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9061E1" id="_x0000_t32" coordsize="21600,21600" o:spt="32" o:oned="t" path="m,l21600,21600e" filled="f">
                <v:path arrowok="t" fillok="f" o:connecttype="none"/>
                <o:lock v:ext="edit" shapetype="t"/>
              </v:shapetype>
              <v:shape id="AutoShape 20" o:spid="_x0000_s1026" type="#_x0000_t32" style="position:absolute;margin-left:-.25pt;margin-top:5.65pt;width:422.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" strokeweight=".25pt"/>
            </w:pict>
          </mc:Fallback>
        </mc:AlternateContent>
      </w:r>
    </w:p>
    <w:p w14:paraId="0D128428" w14:textId="416F7516" w:rsidR="00E47754" w:rsidRPr="00300980" w:rsidRDefault="00300980" w:rsidP="001336DB">
      <w:pPr>
        <w:ind w:right="15"/>
        <w:jc w:val="both"/>
        <w:rPr>
          <w:i/>
          <w:sz w:val="22"/>
          <w:szCs w:val="22"/>
          <w:lang w:val="id-ID"/>
        </w:rPr>
      </w:pPr>
      <w:r w:rsidRPr="00B25636">
        <w:rPr>
          <w:b/>
          <w:bCs/>
          <w:i/>
        </w:rPr>
        <w:t>Keywords</w:t>
      </w:r>
      <w:r w:rsidR="00AF3CBD" w:rsidRPr="00300980">
        <w:rPr>
          <w:i/>
        </w:rPr>
        <w:t xml:space="preserve">: </w:t>
      </w:r>
      <w:r w:rsidR="00161D02">
        <w:rPr>
          <w:i/>
        </w:rPr>
        <w:t>F</w:t>
      </w:r>
      <w:r w:rsidR="00881B5C" w:rsidRPr="00300980">
        <w:rPr>
          <w:i/>
        </w:rPr>
        <w:t>inancial development</w:t>
      </w:r>
      <w:r w:rsidR="00881B5C">
        <w:rPr>
          <w:i/>
        </w:rPr>
        <w:t xml:space="preserve">, </w:t>
      </w:r>
      <w:r w:rsidR="0090639E">
        <w:rPr>
          <w:i/>
        </w:rPr>
        <w:t>P</w:t>
      </w:r>
      <w:r w:rsidR="0090639E" w:rsidRPr="00300980">
        <w:rPr>
          <w:i/>
        </w:rPr>
        <w:t>anel</w:t>
      </w:r>
      <w:r w:rsidR="0090639E">
        <w:rPr>
          <w:i/>
        </w:rPr>
        <w:t xml:space="preserve"> data</w:t>
      </w:r>
      <w:r w:rsidR="0090639E">
        <w:rPr>
          <w:i/>
        </w:rPr>
        <w:t xml:space="preserve">, </w:t>
      </w:r>
      <w:r w:rsidR="00161D02">
        <w:rPr>
          <w:i/>
        </w:rPr>
        <w:t>R</w:t>
      </w:r>
      <w:r w:rsidR="00D70BDB">
        <w:rPr>
          <w:i/>
        </w:rPr>
        <w:t>egional economics</w:t>
      </w:r>
      <w:r w:rsidR="00AF3CBD" w:rsidRPr="00300980">
        <w:rPr>
          <w:i/>
        </w:rPr>
        <w:t xml:space="preserve"> </w:t>
      </w:r>
    </w:p>
    <w:p w14:paraId="24A5B0DB" w14:textId="77777777" w:rsidR="00CA1857" w:rsidRPr="0062329E" w:rsidRDefault="007E3F68" w:rsidP="00B25636">
      <w:pPr>
        <w:widowControl/>
        <w:tabs>
          <w:tab w:val="left" w:pos="0"/>
          <w:tab w:val="left" w:pos="360"/>
        </w:tabs>
        <w:autoSpaceDE/>
        <w:autoSpaceDN/>
        <w:spacing w:before="120"/>
        <w:ind w:left="357" w:hanging="357"/>
        <w:jc w:val="both"/>
        <w:rPr>
          <w:rFonts w:eastAsia="Calibri"/>
        </w:rPr>
      </w:pPr>
      <w:bookmarkStart w:id="3" w:name="_Toc372848444"/>
      <w:bookmarkStart w:id="4" w:name="_Toc405237773"/>
      <w:r w:rsidRPr="007E3F68">
        <w:rPr>
          <w:rFonts w:eastAsia="Calibri"/>
          <w:b/>
          <w:lang w:val="id-ID"/>
        </w:rPr>
        <w:t>JEL Classification</w:t>
      </w:r>
      <w:r w:rsidRPr="007E3F68">
        <w:rPr>
          <w:rFonts w:eastAsia="Calibri"/>
          <w:lang w:val="id-ID"/>
        </w:rPr>
        <w:t>:</w:t>
      </w:r>
      <w:r w:rsidR="00D70BDB">
        <w:rPr>
          <w:rFonts w:eastAsia="Calibri"/>
        </w:rPr>
        <w:t xml:space="preserve"> O23</w:t>
      </w:r>
      <w:r w:rsidR="00D70BDB">
        <w:rPr>
          <w:rFonts w:eastAsia="Calibri"/>
          <w:lang w:val="id-ID"/>
        </w:rPr>
        <w:t xml:space="preserve">, </w:t>
      </w:r>
      <w:r w:rsidR="00D70BDB">
        <w:rPr>
          <w:rFonts w:eastAsia="Calibri"/>
        </w:rPr>
        <w:t>R</w:t>
      </w:r>
      <w:r w:rsidR="00D70BDB">
        <w:rPr>
          <w:rFonts w:eastAsia="Calibri"/>
          <w:lang w:val="id-ID"/>
        </w:rPr>
        <w:t>1</w:t>
      </w:r>
      <w:r w:rsidR="0062329E">
        <w:rPr>
          <w:rFonts w:eastAsia="Calibri"/>
          <w:lang w:val="id-ID"/>
        </w:rPr>
        <w:t>1</w:t>
      </w:r>
      <w:r w:rsidRPr="007E3F68">
        <w:rPr>
          <w:rFonts w:eastAsia="Calibri"/>
          <w:lang w:val="id-ID"/>
        </w:rPr>
        <w:t xml:space="preserve">, </w:t>
      </w:r>
      <w:r w:rsidR="0062329E">
        <w:rPr>
          <w:rFonts w:eastAsia="Calibri"/>
        </w:rPr>
        <w:t>C23</w:t>
      </w:r>
    </w:p>
    <w:p w14:paraId="037E7929" w14:textId="77777777" w:rsidR="003A4988" w:rsidRPr="003A4988" w:rsidRDefault="003A4988" w:rsidP="001336DB">
      <w:pPr>
        <w:widowControl/>
        <w:tabs>
          <w:tab w:val="left" w:pos="0"/>
          <w:tab w:val="left" w:pos="360"/>
        </w:tabs>
        <w:autoSpaceDE/>
        <w:autoSpaceDN/>
        <w:ind w:left="357" w:hanging="357"/>
        <w:jc w:val="both"/>
        <w:rPr>
          <w:rFonts w:eastAsia="Calibri"/>
          <w:lang w:val="id-ID"/>
        </w:rPr>
      </w:pPr>
    </w:p>
    <w:bookmarkEnd w:id="3"/>
    <w:bookmarkEnd w:id="4"/>
    <w:p w14:paraId="205DD5EE" w14:textId="77777777" w:rsidR="002074C6" w:rsidRPr="00781583" w:rsidRDefault="00300980" w:rsidP="00B25636">
      <w:pPr>
        <w:spacing w:before="120"/>
        <w:rPr>
          <w:b/>
        </w:rPr>
      </w:pPr>
      <w:r>
        <w:rPr>
          <w:b/>
        </w:rPr>
        <w:t>I</w:t>
      </w:r>
      <w:r w:rsidR="00781583">
        <w:rPr>
          <w:b/>
        </w:rPr>
        <w:t>N</w:t>
      </w:r>
      <w:r>
        <w:rPr>
          <w:b/>
        </w:rPr>
        <w:t>TRODUCTION</w:t>
      </w:r>
    </w:p>
    <w:p w14:paraId="4AE4C7ED" w14:textId="77777777" w:rsidR="00A6160D" w:rsidRDefault="00A6160D" w:rsidP="001336DB">
      <w:pPr>
        <w:ind w:firstLine="567"/>
        <w:jc w:val="both"/>
      </w:pPr>
      <w:r w:rsidRPr="00A6160D">
        <w:t xml:space="preserve">Financial development is considered a strategic element that plays a fundamental role in the economic development process. The financial sector is primarily regulated because it is considered a supporting economy (Mishkin, 2009). The development of the financial sector is expected to be a function of financial intermediation that can develop and create a better economy. According to Bagehot (1873) explained, the financial sector was significantly able to trigger economic growth by mobilizing a banking sector capital. Furthermore, King </w:t>
      </w:r>
      <w:r>
        <w:t xml:space="preserve">&amp; </w:t>
      </w:r>
      <w:r w:rsidRPr="00A6160D">
        <w:t>Levine (1993) also show that the financial system is proven to increase economic growth.</w:t>
      </w:r>
    </w:p>
    <w:p w14:paraId="45D6BF57" w14:textId="3368B58E" w:rsidR="00A6160D" w:rsidRDefault="00A6160D" w:rsidP="001336DB">
      <w:pPr>
        <w:ind w:firstLine="567"/>
        <w:jc w:val="both"/>
      </w:pPr>
      <w:r w:rsidRPr="00A6160D">
        <w:t>Economic growth can be an appropriate indicator of the development process but must consider other factors such as income inequality iss</w:t>
      </w:r>
      <w:r w:rsidR="00756E78">
        <w:t xml:space="preserve">ues. </w:t>
      </w:r>
      <w:r w:rsidRPr="00A6160D">
        <w:t>According to Greenwood &amp; Jovanovic (1990), based on the Kuznets hypothesis, it shows that the financial sector will encourage inequality in the early stages of development. Nevertheless, after the financial sector is at the peak point, inequality will decrease because the financial sector tends to strengthen. This condition indicates a U-reverses hypothesis between financial sector development and income inequality (Tan &amp; Law, 2012). Shortness of access to finance has long been recognized as a potential problem in increasing the gap between poor and rich.</w:t>
      </w:r>
    </w:p>
    <w:p w14:paraId="5A774A31" w14:textId="77777777" w:rsidR="00A6160D" w:rsidRDefault="00A6160D" w:rsidP="00A052B4">
      <w:pPr>
        <w:spacing w:line="233" w:lineRule="auto"/>
        <w:ind w:firstLine="567"/>
        <w:jc w:val="both"/>
      </w:pPr>
      <w:r w:rsidRPr="00A6160D">
        <w:lastRenderedPageBreak/>
        <w:t>Kappel (2010) investigated the effects of financial sector development on poverty and income inequality, using a panel data regression model. The independent variable of the financial sector development is measured from the banking sector, namely private credit per GDP. It is also covered from the stock sector's development, including the stock market capitalization to GDP, the total market value of shares traded to GDP, and market turnover ratio. The conclusions show that inequality and poverty are reduced through increased market lending and more developed stock markets. In comparison, the effect of financial inclusion on income inequality in Asia was reviewed by Park &amp; Mercado (2015). The study examined the effect of financial inclusion and supporting variables on income inequality and poverty. The result of financial inclusion has a significant reduction effect on income inequality and poverty in selected countries.</w:t>
      </w:r>
    </w:p>
    <w:p w14:paraId="2D660E9F" w14:textId="416C3109" w:rsidR="00781583" w:rsidRDefault="00525643" w:rsidP="00A052B4">
      <w:pPr>
        <w:spacing w:after="120" w:line="233" w:lineRule="auto"/>
        <w:ind w:firstLine="567"/>
        <w:jc w:val="both"/>
      </w:pPr>
      <w:r w:rsidRPr="00525643">
        <w:t>The situation of income inequality in East Java Province still needs attention. The income inequality problem is that not all people get the same income from each asset because of the frequently centralized financial resources of prosperous households with access to financ</w:t>
      </w:r>
      <w:r w:rsidR="00916098">
        <w:t>ial markets (World Bank, 2016</w:t>
      </w:r>
      <w:r w:rsidRPr="00525643">
        <w:t>). Even though East Java's economic growth is progressing, there is severe inequality in East Java.</w:t>
      </w:r>
    </w:p>
    <w:p w14:paraId="3F4BB4EA" w14:textId="4EB5F68A" w:rsidR="00781583" w:rsidRDefault="000F14B5" w:rsidP="003E7567">
      <w:pPr>
        <w:spacing w:after="100"/>
        <w:jc w:val="center"/>
        <w:rPr>
          <w:noProof/>
        </w:rPr>
      </w:pPr>
      <w:r w:rsidRPr="00A6160D">
        <w:rPr>
          <w:noProof/>
        </w:rPr>
        <mc:AlternateContent>
          <mc:Choice Requires="wps">
            <w:drawing>
              <wp:anchor distT="0" distB="0" distL="114300" distR="114300" simplePos="0" relativeHeight="251661824" behindDoc="0" locked="0" layoutInCell="1" allowOverlap="1" wp14:anchorId="0FFD7BCA" wp14:editId="39F9E4A5">
                <wp:simplePos x="0" y="0"/>
                <wp:positionH relativeFrom="margin">
                  <wp:posOffset>4391025</wp:posOffset>
                </wp:positionH>
                <wp:positionV relativeFrom="paragraph">
                  <wp:posOffset>1005205</wp:posOffset>
                </wp:positionV>
                <wp:extent cx="838200" cy="266700"/>
                <wp:effectExtent l="0" t="0" r="0" b="0"/>
                <wp:wrapNone/>
                <wp:docPr id="5" name="Rectangle 1"/>
                <wp:cNvGraphicFramePr/>
                <a:graphic xmlns:a="http://schemas.openxmlformats.org/drawingml/2006/main">
                  <a:graphicData uri="http://schemas.microsoft.com/office/word/2010/wordprocessingShape">
                    <wps:wsp>
                      <wps:cNvSpPr/>
                      <wps:spPr>
                        <a:xfrm>
                          <a:off x="0" y="0"/>
                          <a:ext cx="838200" cy="266700"/>
                        </a:xfrm>
                        <a:prstGeom prst="rect">
                          <a:avLst/>
                        </a:prstGeom>
                        <a:ln w="3175">
                          <a:noFill/>
                        </a:ln>
                      </wps:spPr>
                      <wps:style>
                        <a:lnRef idx="2">
                          <a:schemeClr val="dk1"/>
                        </a:lnRef>
                        <a:fillRef idx="1001">
                          <a:schemeClr val="lt1"/>
                        </a:fillRef>
                        <a:effectRef idx="0">
                          <a:schemeClr val="dk1"/>
                        </a:effectRef>
                        <a:fontRef idx="minor">
                          <a:schemeClr val="dk1"/>
                        </a:fontRef>
                      </wps:style>
                      <wps:txbx>
                        <w:txbxContent>
                          <w:p w14:paraId="35C1EEA8" w14:textId="77777777" w:rsidR="00525643" w:rsidRDefault="00525643" w:rsidP="00525643">
                            <w:pPr>
                              <w:pStyle w:val="NormalWeb"/>
                              <w:spacing w:before="0" w:beforeAutospacing="0" w:after="0" w:afterAutospacing="0"/>
                              <w:jc w:val="center"/>
                            </w:pPr>
                            <w:r>
                              <w:rPr>
                                <w:rFonts w:asciiTheme="minorHAnsi" w:hAnsi="Calibri" w:cstheme="minorBidi"/>
                                <w:color w:val="000000" w:themeColor="dark1"/>
                                <w:sz w:val="22"/>
                                <w:szCs w:val="22"/>
                              </w:rPr>
                              <w:t>East Java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FFD7BCA" id="Rectangle 1" o:spid="_x0000_s1026" style="position:absolute;left:0;text-align:left;margin-left:345.75pt;margin-top:79.15pt;width:66pt;height:21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" fillcolor="white [3201]" stroked="f" strokeweight=".25pt">
                <v:textbox>
                  <w:txbxContent>
                    <w:p w14:paraId="35C1EEA8" w14:textId="77777777" w:rsidR="00525643" w:rsidRDefault="00525643" w:rsidP="00525643">
                      <w:pPr>
                        <w:pStyle w:val="NormalWeb"/>
                        <w:spacing w:before="0" w:beforeAutospacing="0" w:after="0" w:afterAutospacing="0"/>
                        <w:jc w:val="center"/>
                      </w:pPr>
                      <w:r>
                        <w:rPr>
                          <w:rFonts w:asciiTheme="minorHAnsi" w:hAnsi="Calibri" w:cstheme="minorBidi"/>
                          <w:color w:val="000000" w:themeColor="dark1"/>
                          <w:sz w:val="22"/>
                          <w:szCs w:val="22"/>
                        </w:rPr>
                        <w:t>East Java</w:t>
                      </w:r>
                    </w:p>
                  </w:txbxContent>
                </v:textbox>
                <w10:wrap anchorx="margin"/>
              </v:rect>
            </w:pict>
          </mc:Fallback>
        </mc:AlternateContent>
      </w:r>
      <w:r w:rsidRPr="00A6160D">
        <w:rPr>
          <w:noProof/>
        </w:rPr>
        <mc:AlternateContent>
          <mc:Choice Requires="wps">
            <w:drawing>
              <wp:anchor distT="0" distB="0" distL="114300" distR="114300" simplePos="0" relativeHeight="251659776" behindDoc="0" locked="0" layoutInCell="1" allowOverlap="1" wp14:anchorId="4FA28949" wp14:editId="35BFE406">
                <wp:simplePos x="0" y="0"/>
                <wp:positionH relativeFrom="margin">
                  <wp:posOffset>4429125</wp:posOffset>
                </wp:positionH>
                <wp:positionV relativeFrom="paragraph">
                  <wp:posOffset>804545</wp:posOffset>
                </wp:positionV>
                <wp:extent cx="698500" cy="241300"/>
                <wp:effectExtent l="0" t="0" r="6350" b="6350"/>
                <wp:wrapNone/>
                <wp:docPr id="4" name="Rectangle 1"/>
                <wp:cNvGraphicFramePr/>
                <a:graphic xmlns:a="http://schemas.openxmlformats.org/drawingml/2006/main">
                  <a:graphicData uri="http://schemas.microsoft.com/office/word/2010/wordprocessingShape">
                    <wps:wsp>
                      <wps:cNvSpPr/>
                      <wps:spPr>
                        <a:xfrm>
                          <a:off x="0" y="0"/>
                          <a:ext cx="698500" cy="241300"/>
                        </a:xfrm>
                        <a:prstGeom prst="rect">
                          <a:avLst/>
                        </a:prstGeom>
                        <a:ln w="3175">
                          <a:noFill/>
                        </a:ln>
                      </wps:spPr>
                      <wps:style>
                        <a:lnRef idx="2">
                          <a:schemeClr val="dk1"/>
                        </a:lnRef>
                        <a:fillRef idx="1001">
                          <a:schemeClr val="lt1"/>
                        </a:fillRef>
                        <a:effectRef idx="0">
                          <a:schemeClr val="dk1"/>
                        </a:effectRef>
                        <a:fontRef idx="minor">
                          <a:schemeClr val="dk1"/>
                        </a:fontRef>
                      </wps:style>
                      <wps:txbx>
                        <w:txbxContent>
                          <w:p w14:paraId="1191608A" w14:textId="77777777" w:rsidR="00A6160D" w:rsidRDefault="00A6160D" w:rsidP="00A6160D">
                            <w:pPr>
                              <w:pStyle w:val="NormalWeb"/>
                              <w:spacing w:before="0" w:beforeAutospacing="0" w:after="0" w:afterAutospacing="0"/>
                              <w:jc w:val="center"/>
                            </w:pPr>
                            <w:r>
                              <w:rPr>
                                <w:rFonts w:asciiTheme="minorHAnsi" w:hAnsi="Calibri" w:cstheme="minorBidi"/>
                                <w:color w:val="000000" w:themeColor="dark1"/>
                                <w:sz w:val="22"/>
                                <w:szCs w:val="22"/>
                              </w:rPr>
                              <w:t>National</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FA28949" id="_x0000_s1027" style="position:absolute;left:0;text-align:left;margin-left:348.75pt;margin-top:63.35pt;width:55pt;height:1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" fillcolor="white [3201]" stroked="f" strokeweight=".25pt">
                <v:textbox>
                  <w:txbxContent>
                    <w:p w14:paraId="1191608A" w14:textId="77777777" w:rsidR="00A6160D" w:rsidRDefault="00A6160D" w:rsidP="00A6160D">
                      <w:pPr>
                        <w:pStyle w:val="NormalWeb"/>
                        <w:spacing w:before="0" w:beforeAutospacing="0" w:after="0" w:afterAutospacing="0"/>
                        <w:jc w:val="center"/>
                      </w:pPr>
                      <w:r>
                        <w:rPr>
                          <w:rFonts w:asciiTheme="minorHAnsi" w:hAnsi="Calibri" w:cstheme="minorBidi"/>
                          <w:color w:val="000000" w:themeColor="dark1"/>
                          <w:sz w:val="22"/>
                          <w:szCs w:val="22"/>
                        </w:rPr>
                        <w:t>National</w:t>
                      </w:r>
                    </w:p>
                  </w:txbxContent>
                </v:textbox>
                <w10:wrap anchorx="margin"/>
              </v:rect>
            </w:pict>
          </mc:Fallback>
        </mc:AlternateContent>
      </w:r>
      <w:r w:rsidR="0063768B" w:rsidRPr="0063768B">
        <w:rPr>
          <w:noProof/>
        </w:rPr>
        <w:drawing>
          <wp:inline distT="0" distB="0" distL="0" distR="0" wp14:anchorId="38804275" wp14:editId="2A1537F7">
            <wp:extent cx="5380355" cy="2089150"/>
            <wp:effectExtent l="0" t="0" r="10795" b="635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6160D" w:rsidRPr="00A6160D">
        <w:rPr>
          <w:noProof/>
        </w:rPr>
        <w:t xml:space="preserve"> </w:t>
      </w:r>
    </w:p>
    <w:p w14:paraId="7BB6C037" w14:textId="4A6F1E43" w:rsidR="00AF3CBD" w:rsidRPr="004E2BEF" w:rsidRDefault="00AF3CBD" w:rsidP="004E2BEF">
      <w:pPr>
        <w:rPr>
          <w:b/>
          <w:sz w:val="22"/>
        </w:rPr>
      </w:pPr>
      <w:r w:rsidRPr="004E2BEF">
        <w:rPr>
          <w:b/>
          <w:sz w:val="22"/>
        </w:rPr>
        <w:t xml:space="preserve">Figure 1. </w:t>
      </w:r>
      <w:r w:rsidRPr="004E2BEF">
        <w:rPr>
          <w:bCs/>
          <w:sz w:val="22"/>
        </w:rPr>
        <w:t xml:space="preserve">Gini Ratio of East Java </w:t>
      </w:r>
      <w:r w:rsidR="00525643" w:rsidRPr="004E2BEF">
        <w:rPr>
          <w:bCs/>
          <w:sz w:val="22"/>
        </w:rPr>
        <w:t xml:space="preserve">Provinces </w:t>
      </w:r>
      <w:r w:rsidRPr="004E2BEF">
        <w:rPr>
          <w:bCs/>
          <w:sz w:val="22"/>
        </w:rPr>
        <w:t>and National</w:t>
      </w:r>
      <w:r w:rsidR="0013699B">
        <w:rPr>
          <w:bCs/>
          <w:sz w:val="22"/>
        </w:rPr>
        <w:t>,</w:t>
      </w:r>
      <w:r w:rsidRPr="004E2BEF">
        <w:rPr>
          <w:bCs/>
          <w:sz w:val="22"/>
        </w:rPr>
        <w:t xml:space="preserve"> 2013-2017</w:t>
      </w:r>
    </w:p>
    <w:p w14:paraId="2CF8F5DE" w14:textId="77777777" w:rsidR="00AF3CBD" w:rsidRPr="004E2BEF" w:rsidRDefault="00AF3CBD" w:rsidP="004E2BEF">
      <w:pPr>
        <w:pStyle w:val="ListParagraph"/>
        <w:spacing w:line="240" w:lineRule="auto"/>
        <w:ind w:left="0"/>
        <w:jc w:val="left"/>
        <w:rPr>
          <w:i/>
          <w:sz w:val="22"/>
        </w:rPr>
      </w:pPr>
      <w:r w:rsidRPr="004E2BEF">
        <w:rPr>
          <w:i/>
          <w:sz w:val="22"/>
        </w:rPr>
        <w:t>Source: BPS East Java Province</w:t>
      </w:r>
    </w:p>
    <w:p w14:paraId="3885E8EA" w14:textId="6181A6C3" w:rsidR="00525643" w:rsidRDefault="004E2BEF" w:rsidP="00A052B4">
      <w:pPr>
        <w:pStyle w:val="ListParagraph"/>
        <w:spacing w:before="120" w:line="233" w:lineRule="auto"/>
        <w:ind w:left="0" w:firstLine="567"/>
        <w:contextualSpacing w:val="0"/>
        <w:rPr>
          <w:szCs w:val="24"/>
        </w:rPr>
      </w:pPr>
      <w:r>
        <w:rPr>
          <w:szCs w:val="24"/>
        </w:rPr>
        <w:t>T</w:t>
      </w:r>
      <w:r w:rsidR="00525643" w:rsidRPr="00525643">
        <w:rPr>
          <w:szCs w:val="24"/>
        </w:rPr>
        <w:t xml:space="preserve">he Gini ratio's situation in 2013-2014 East Java Province is </w:t>
      </w:r>
      <w:r>
        <w:rPr>
          <w:szCs w:val="24"/>
        </w:rPr>
        <w:t>lower</w:t>
      </w:r>
      <w:r w:rsidR="00525643" w:rsidRPr="00525643">
        <w:rPr>
          <w:szCs w:val="24"/>
        </w:rPr>
        <w:t xml:space="preserve"> than the national Gini ratio</w:t>
      </w:r>
      <w:r>
        <w:rPr>
          <w:szCs w:val="24"/>
        </w:rPr>
        <w:t>. I</w:t>
      </w:r>
      <w:r w:rsidR="00525643" w:rsidRPr="00525643">
        <w:rPr>
          <w:szCs w:val="24"/>
        </w:rPr>
        <w:t xml:space="preserve">n 2015-2017, the East Java Province ratio </w:t>
      </w:r>
      <w:r>
        <w:rPr>
          <w:szCs w:val="24"/>
        </w:rPr>
        <w:t>wa</w:t>
      </w:r>
      <w:r w:rsidR="00525643" w:rsidRPr="00525643">
        <w:rPr>
          <w:szCs w:val="24"/>
        </w:rPr>
        <w:t>s more leading than the national level Gini ratio. In 2015 there was the highest income inequality, which was 0.42 percent, although it declined in the following year; the problem of inequality must still be considered. In 2017, the province of East Java was rated tenth at the national level with the highest level of income inequality and included in moderate-income inequality, so that if it remains. It can affect the national economy because East Java is a province that plays an important role and is realized as the center of eastern Indonesia, which presents relatively high and significance to the national economy. Therefore, efforts are still needed to alleviate income inequality, one of which is financial development.</w:t>
      </w:r>
    </w:p>
    <w:p w14:paraId="04452404" w14:textId="0AFA934A" w:rsidR="00525643" w:rsidRPr="00525643" w:rsidRDefault="00525643" w:rsidP="00A052B4">
      <w:pPr>
        <w:spacing w:line="233" w:lineRule="auto"/>
        <w:ind w:firstLine="567"/>
        <w:jc w:val="both"/>
        <w:rPr>
          <w:rFonts w:eastAsia="Calibri"/>
          <w:szCs w:val="22"/>
        </w:rPr>
      </w:pPr>
      <w:r w:rsidRPr="00525643">
        <w:rPr>
          <w:rFonts w:eastAsia="Calibri"/>
          <w:szCs w:val="22"/>
        </w:rPr>
        <w:t xml:space="preserve">This study is revised from </w:t>
      </w:r>
      <w:proofErr w:type="spellStart"/>
      <w:r w:rsidRPr="00525643">
        <w:rPr>
          <w:rFonts w:eastAsia="Calibri"/>
          <w:szCs w:val="22"/>
        </w:rPr>
        <w:t>Jaumotte</w:t>
      </w:r>
      <w:proofErr w:type="spellEnd"/>
      <w:r w:rsidRPr="00525643">
        <w:rPr>
          <w:rFonts w:eastAsia="Calibri"/>
          <w:szCs w:val="22"/>
        </w:rPr>
        <w:t xml:space="preserve"> (2008)</w:t>
      </w:r>
      <w:r w:rsidR="00BB6278">
        <w:rPr>
          <w:rFonts w:eastAsia="Calibri"/>
          <w:szCs w:val="22"/>
        </w:rPr>
        <w:t>,</w:t>
      </w:r>
      <w:r w:rsidR="004E2BEF">
        <w:rPr>
          <w:rFonts w:eastAsia="Calibri"/>
          <w:szCs w:val="22"/>
        </w:rPr>
        <w:t xml:space="preserve"> and</w:t>
      </w:r>
      <w:r w:rsidRPr="00525643">
        <w:rPr>
          <w:rFonts w:eastAsia="Calibri"/>
          <w:szCs w:val="22"/>
        </w:rPr>
        <w:t xml:space="preserve"> Seven &amp; Coskun (2016) explain that significantly the financial sector's development positively influences income disp</w:t>
      </w:r>
      <w:r>
        <w:rPr>
          <w:rFonts w:eastAsia="Calibri"/>
          <w:szCs w:val="22"/>
        </w:rPr>
        <w:t xml:space="preserve">arities in selected countries. </w:t>
      </w:r>
      <w:r w:rsidRPr="00525643">
        <w:rPr>
          <w:rFonts w:eastAsia="Calibri"/>
          <w:szCs w:val="22"/>
        </w:rPr>
        <w:t xml:space="preserve">They use the same financial sector development indicators, particularly private sector credit to GDP, however in the study of </w:t>
      </w:r>
      <w:proofErr w:type="spellStart"/>
      <w:r w:rsidRPr="00525643">
        <w:rPr>
          <w:rFonts w:eastAsia="Calibri"/>
          <w:szCs w:val="22"/>
        </w:rPr>
        <w:t>Jaumotte</w:t>
      </w:r>
      <w:proofErr w:type="spellEnd"/>
      <w:r w:rsidRPr="00525643">
        <w:rPr>
          <w:rFonts w:eastAsia="Calibri"/>
          <w:szCs w:val="22"/>
        </w:rPr>
        <w:t xml:space="preserve"> (2008), using financial disclosure variables includes FDI, an equity portfolio, financial derivatives,</w:t>
      </w:r>
      <w:r>
        <w:rPr>
          <w:rFonts w:eastAsia="Calibri"/>
          <w:szCs w:val="22"/>
        </w:rPr>
        <w:t xml:space="preserve"> and total reserves minus gold. </w:t>
      </w:r>
      <w:r w:rsidRPr="00525643">
        <w:rPr>
          <w:rFonts w:eastAsia="Calibri"/>
          <w:szCs w:val="22"/>
        </w:rPr>
        <w:t xml:space="preserve">This research implies that the financial sector's development harms income inequality performed through a credit ratio per GDRP, also providing significant. It indicated that the financial sector is getting deeper (financial </w:t>
      </w:r>
      <w:r w:rsidRPr="00525643">
        <w:rPr>
          <w:rFonts w:eastAsia="Calibri"/>
          <w:szCs w:val="22"/>
        </w:rPr>
        <w:lastRenderedPageBreak/>
        <w:t>deepening), which means that credit access to the public is getting highe</w:t>
      </w:r>
      <w:r>
        <w:rPr>
          <w:rFonts w:eastAsia="Calibri"/>
          <w:szCs w:val="22"/>
        </w:rPr>
        <w:t xml:space="preserve">r (Lynch, 1996). </w:t>
      </w:r>
      <w:r w:rsidRPr="00525643">
        <w:rPr>
          <w:rFonts w:eastAsia="Calibri"/>
          <w:szCs w:val="22"/>
        </w:rPr>
        <w:t xml:space="preserve">It can decrease the income gap at the regional level district/city of East Java province. </w:t>
      </w:r>
      <w:r w:rsidR="00C75D0D">
        <w:rPr>
          <w:rFonts w:eastAsia="Calibri"/>
          <w:szCs w:val="22"/>
        </w:rPr>
        <w:t>Financial sector development measures are also</w:t>
      </w:r>
      <w:r w:rsidRPr="00525643">
        <w:rPr>
          <w:rFonts w:eastAsia="Calibri"/>
          <w:szCs w:val="22"/>
        </w:rPr>
        <w:t xml:space="preserve"> used only in the banking sector's scope and use regional characteristic factor variables to see their income inequality effects.</w:t>
      </w:r>
    </w:p>
    <w:p w14:paraId="2924C7E7" w14:textId="77777777" w:rsidR="00525643" w:rsidRDefault="00525643" w:rsidP="00A052B4">
      <w:pPr>
        <w:spacing w:line="233" w:lineRule="auto"/>
        <w:jc w:val="both"/>
        <w:rPr>
          <w:b/>
          <w:lang w:val="id-ID"/>
        </w:rPr>
      </w:pPr>
    </w:p>
    <w:p w14:paraId="0315B9C5" w14:textId="77777777" w:rsidR="003E7567" w:rsidRDefault="003E7567" w:rsidP="00A052B4">
      <w:pPr>
        <w:spacing w:line="233" w:lineRule="auto"/>
        <w:jc w:val="both"/>
        <w:rPr>
          <w:b/>
        </w:rPr>
      </w:pPr>
      <w:r>
        <w:rPr>
          <w:b/>
          <w:lang w:val="id-ID"/>
        </w:rPr>
        <w:t>ME</w:t>
      </w:r>
      <w:r w:rsidR="00300980">
        <w:rPr>
          <w:b/>
        </w:rPr>
        <w:t>THODS</w:t>
      </w:r>
    </w:p>
    <w:p w14:paraId="73846DAA" w14:textId="2F06A884" w:rsidR="00FE3A73" w:rsidRDefault="00FE3A73" w:rsidP="00A052B4">
      <w:pPr>
        <w:pStyle w:val="ListParagraph"/>
        <w:spacing w:line="233" w:lineRule="auto"/>
        <w:ind w:left="0" w:firstLine="567"/>
        <w:contextualSpacing w:val="0"/>
        <w:rPr>
          <w:rFonts w:eastAsia="Times New Roman"/>
          <w:szCs w:val="24"/>
        </w:rPr>
      </w:pPr>
      <w:r w:rsidRPr="00756E78">
        <w:rPr>
          <w:rFonts w:eastAsia="Times New Roman"/>
          <w:szCs w:val="24"/>
        </w:rPr>
        <w:t>The used in this study are secondary data. This study's data type is panel data, covering annual time series data from 2013 to 2017 and cross-sections covering 38 districts/cities in East Java Province. Time series do not use 2018-2019 data because the Gini ratio data used is not yet available, and the latest data is only until 2017.  The variable include</w:t>
      </w:r>
      <w:r w:rsidR="00264B94">
        <w:rPr>
          <w:rFonts w:eastAsia="Times New Roman"/>
          <w:szCs w:val="24"/>
        </w:rPr>
        <w:t>s</w:t>
      </w:r>
      <w:r w:rsidRPr="00756E78">
        <w:rPr>
          <w:rFonts w:eastAsia="Times New Roman"/>
          <w:szCs w:val="24"/>
        </w:rPr>
        <w:t xml:space="preserve"> the Gini ratio, Financial Sector Development as measured by credit/GDRP ratio, asset ratio/GDRP, Third Party Funds/GDRP ratio,</w:t>
      </w:r>
      <w:r w:rsidRPr="00FE3A73">
        <w:rPr>
          <w:rFonts w:eastAsia="Times New Roman"/>
          <w:szCs w:val="24"/>
        </w:rPr>
        <w:t xml:space="preserve"> and regional characteristics </w:t>
      </w:r>
      <w:r w:rsidR="008D11AB">
        <w:rPr>
          <w:rFonts w:eastAsia="Times New Roman"/>
          <w:szCs w:val="24"/>
        </w:rPr>
        <w:t xml:space="preserve">use </w:t>
      </w:r>
      <w:r w:rsidRPr="00FE3A73">
        <w:rPr>
          <w:rFonts w:eastAsia="Times New Roman"/>
          <w:szCs w:val="24"/>
        </w:rPr>
        <w:t>APBD, population density, poverty, and open unemployment rates. Sources of data were obtained from the Regional Economic and Financial Statistics through the official website of Bank Indonesia and publications in the East Java Provincial Statistics Agency.</w:t>
      </w:r>
    </w:p>
    <w:p w14:paraId="3A700E51" w14:textId="07A49DEB" w:rsidR="00FE3A73" w:rsidRPr="00FE3A73" w:rsidRDefault="00FE3A73" w:rsidP="00A052B4">
      <w:pPr>
        <w:spacing w:line="233" w:lineRule="auto"/>
        <w:ind w:firstLine="567"/>
        <w:jc w:val="both"/>
        <w:rPr>
          <w:rFonts w:eastAsia="Calibri"/>
        </w:rPr>
      </w:pPr>
      <w:r w:rsidRPr="00FE3A73">
        <w:rPr>
          <w:rFonts w:eastAsia="Calibri"/>
        </w:rPr>
        <w:t xml:space="preserve">The theory underlying the model in this study is the theory of financial development. According to the International Monetary Fund, in the </w:t>
      </w:r>
      <w:r w:rsidR="00C75D0D">
        <w:rPr>
          <w:rFonts w:eastAsia="Calibri"/>
        </w:rPr>
        <w:t>financial sector development</w:t>
      </w:r>
      <w:r w:rsidRPr="00FE3A73">
        <w:rPr>
          <w:rFonts w:eastAsia="Calibri"/>
        </w:rPr>
        <w:t xml:space="preserve">, there are three institutional financial indexes: a financial institution depth index, an index of access to financial institutions, and an index of financial institutions' efficiency. </w:t>
      </w:r>
    </w:p>
    <w:p w14:paraId="37C1E119" w14:textId="7C1F4310" w:rsidR="00FE3A73" w:rsidRDefault="00FE3A73" w:rsidP="00A052B4">
      <w:pPr>
        <w:spacing w:line="233" w:lineRule="auto"/>
        <w:ind w:firstLine="567"/>
        <w:jc w:val="both"/>
        <w:rPr>
          <w:rFonts w:eastAsia="Calibri"/>
        </w:rPr>
      </w:pPr>
      <w:r w:rsidRPr="00FE3A73">
        <w:rPr>
          <w:rFonts w:eastAsia="Calibri"/>
        </w:rPr>
        <w:t xml:space="preserve">This study employs various independent variables from many sources. For the bank credit ratio/GDP variable; and the ratio of </w:t>
      </w:r>
      <w:proofErr w:type="gramStart"/>
      <w:r w:rsidRPr="00FE3A73">
        <w:rPr>
          <w:rFonts w:eastAsia="Calibri"/>
        </w:rPr>
        <w:t>third party</w:t>
      </w:r>
      <w:proofErr w:type="gramEnd"/>
      <w:r w:rsidRPr="00FE3A73">
        <w:rPr>
          <w:rFonts w:eastAsia="Calibri"/>
        </w:rPr>
        <w:t xml:space="preserve"> funds/banking GDP, using </w:t>
      </w:r>
      <w:r w:rsidR="00264B94">
        <w:rPr>
          <w:rFonts w:eastAsia="Calibri"/>
        </w:rPr>
        <w:t>Bank Indonesia's opinion</w:t>
      </w:r>
      <w:r w:rsidRPr="00FE3A73">
        <w:rPr>
          <w:rFonts w:eastAsia="Calibri"/>
        </w:rPr>
        <w:t xml:space="preserve"> (2015).</w:t>
      </w:r>
      <w:r w:rsidR="008D11AB">
        <w:rPr>
          <w:rFonts w:eastAsia="Calibri"/>
        </w:rPr>
        <w:t xml:space="preserve"> </w:t>
      </w:r>
      <w:r w:rsidRPr="00FE3A73">
        <w:rPr>
          <w:rFonts w:eastAsia="Calibri"/>
        </w:rPr>
        <w:t xml:space="preserve">For the </w:t>
      </w:r>
      <w:r w:rsidR="00916098">
        <w:rPr>
          <w:rFonts w:eastAsia="Calibri"/>
        </w:rPr>
        <w:t xml:space="preserve">regional </w:t>
      </w:r>
      <w:r w:rsidRPr="00FE3A73">
        <w:rPr>
          <w:rFonts w:eastAsia="Calibri"/>
        </w:rPr>
        <w:t>re</w:t>
      </w:r>
      <w:r w:rsidR="00795C5E">
        <w:rPr>
          <w:rFonts w:eastAsia="Calibri"/>
        </w:rPr>
        <w:t xml:space="preserve">venue using </w:t>
      </w:r>
      <w:proofErr w:type="spellStart"/>
      <w:r w:rsidR="00795C5E">
        <w:rPr>
          <w:rFonts w:eastAsia="Calibri"/>
        </w:rPr>
        <w:t>Hur's</w:t>
      </w:r>
      <w:proofErr w:type="spellEnd"/>
      <w:r w:rsidR="00795C5E">
        <w:rPr>
          <w:rFonts w:eastAsia="Calibri"/>
        </w:rPr>
        <w:t xml:space="preserve"> opinion (2014</w:t>
      </w:r>
      <w:r w:rsidRPr="00FE3A73">
        <w:rPr>
          <w:rFonts w:eastAsia="Calibri"/>
        </w:rPr>
        <w:t xml:space="preserve">). For population density variables using research by </w:t>
      </w:r>
      <w:proofErr w:type="spellStart"/>
      <w:r w:rsidRPr="00FE3A73">
        <w:rPr>
          <w:rFonts w:eastAsia="Calibri"/>
        </w:rPr>
        <w:t>Sylwester</w:t>
      </w:r>
      <w:proofErr w:type="spellEnd"/>
      <w:r w:rsidRPr="00FE3A73">
        <w:rPr>
          <w:rFonts w:eastAsia="Calibri"/>
        </w:rPr>
        <w:t xml:space="preserve"> (2003), for poverty variables using Ahmad </w:t>
      </w:r>
      <w:r w:rsidR="007436CE">
        <w:rPr>
          <w:rFonts w:eastAsia="Calibri"/>
        </w:rPr>
        <w:t>&amp;</w:t>
      </w:r>
      <w:r w:rsidR="00A54581">
        <w:rPr>
          <w:rFonts w:eastAsia="Calibri"/>
        </w:rPr>
        <w:t xml:space="preserve"> </w:t>
      </w:r>
      <w:proofErr w:type="spellStart"/>
      <w:r w:rsidR="00A54581">
        <w:rPr>
          <w:rFonts w:eastAsia="Calibri"/>
        </w:rPr>
        <w:t>Triani</w:t>
      </w:r>
      <w:proofErr w:type="spellEnd"/>
      <w:r w:rsidR="00A54581">
        <w:rPr>
          <w:rFonts w:eastAsia="Calibri"/>
        </w:rPr>
        <w:t xml:space="preserve"> (2019</w:t>
      </w:r>
      <w:r w:rsidRPr="00FE3A73">
        <w:rPr>
          <w:rFonts w:eastAsia="Calibri"/>
        </w:rPr>
        <w:t xml:space="preserve">), and for unemployment variables using the idea of </w:t>
      </w:r>
      <w:proofErr w:type="spellStart"/>
      <w:r w:rsidRPr="00FE3A73">
        <w:rPr>
          <w:rFonts w:eastAsia="Calibri"/>
        </w:rPr>
        <w:t>Deyshappriya</w:t>
      </w:r>
      <w:proofErr w:type="spellEnd"/>
      <w:r w:rsidRPr="00FE3A73">
        <w:rPr>
          <w:rFonts w:eastAsia="Calibri"/>
        </w:rPr>
        <w:t xml:space="preserve"> (2017). </w:t>
      </w:r>
    </w:p>
    <w:p w14:paraId="23E55A6B" w14:textId="484DF97C" w:rsidR="00224E5F" w:rsidRDefault="00FE3A73" w:rsidP="00A052B4">
      <w:pPr>
        <w:spacing w:line="233" w:lineRule="auto"/>
        <w:ind w:firstLine="567"/>
        <w:jc w:val="both"/>
        <w:rPr>
          <w:rFonts w:eastAsia="Calibri"/>
        </w:rPr>
      </w:pPr>
      <w:r w:rsidRPr="00FE3A73">
        <w:rPr>
          <w:rFonts w:eastAsia="Calibri"/>
        </w:rPr>
        <w:t xml:space="preserve">The research uses a quantitative approach. </w:t>
      </w:r>
      <w:r w:rsidR="00CA7A6F">
        <w:rPr>
          <w:rFonts w:eastAsia="Calibri"/>
        </w:rPr>
        <w:t>T</w:t>
      </w:r>
      <w:r w:rsidRPr="00FE3A73">
        <w:rPr>
          <w:rFonts w:eastAsia="Calibri"/>
        </w:rPr>
        <w:t xml:space="preserve">he data analysis used is the panel data regression method. </w:t>
      </w:r>
      <w:r w:rsidR="00BB6278">
        <w:rPr>
          <w:rFonts w:eastAsia="Calibri"/>
        </w:rPr>
        <w:t>T</w:t>
      </w:r>
      <w:r w:rsidRPr="00FE3A73">
        <w:rPr>
          <w:rFonts w:eastAsia="Calibri"/>
        </w:rPr>
        <w:t xml:space="preserve">he panel data equation model can be written as </w:t>
      </w:r>
      <w:r w:rsidR="00BB6278">
        <w:rPr>
          <w:rFonts w:eastAsia="Calibri"/>
        </w:rPr>
        <w:t>equation (1) – (3)</w:t>
      </w:r>
      <w:r w:rsidRPr="00FE3A73">
        <w:rPr>
          <w:rFonts w:eastAsia="Calibri"/>
        </w:rPr>
        <w:t>:</w:t>
      </w:r>
    </w:p>
    <w:p w14:paraId="4E257EE0" w14:textId="2E4E1391" w:rsidR="00506FCE" w:rsidRDefault="00506FCE" w:rsidP="00FB44B3">
      <w:pPr>
        <w:spacing w:before="120" w:after="60"/>
        <w:ind w:firstLine="567"/>
        <w:jc w:val="both"/>
      </w:pPr>
      <w:r w:rsidRPr="00FF0259">
        <w:rPr>
          <w:rFonts w:ascii="Cambria Math" w:hAnsi="Cambria Math"/>
        </w:rPr>
        <w:t>𝐺𝑅𝑖𝑡</w:t>
      </w:r>
      <w:r w:rsidRPr="00FF0259">
        <w:t xml:space="preserve"> = </w:t>
      </w:r>
      <w:r w:rsidRPr="00FF0259">
        <w:rPr>
          <w:rFonts w:ascii="Cambria Math" w:hAnsi="Cambria Math"/>
        </w:rPr>
        <w:t>𝛽</w:t>
      </w:r>
      <w:r w:rsidRPr="00FF0259">
        <w:rPr>
          <w:vertAlign w:val="subscript"/>
        </w:rPr>
        <w:t>1</w:t>
      </w:r>
      <w:r w:rsidRPr="00FF0259">
        <w:t xml:space="preserve"> − </w:t>
      </w:r>
      <w:r w:rsidRPr="00FF0259">
        <w:rPr>
          <w:rFonts w:ascii="Cambria Math" w:hAnsi="Cambria Math"/>
        </w:rPr>
        <w:t>𝛽</w:t>
      </w:r>
      <w:r w:rsidRPr="00FF0259">
        <w:rPr>
          <w:vertAlign w:val="subscript"/>
        </w:rPr>
        <w:t>2</w:t>
      </w:r>
      <w:r w:rsidRPr="00FF0259">
        <w:rPr>
          <w:rFonts w:ascii="Cambria Math" w:hAnsi="Cambria Math"/>
        </w:rPr>
        <w:t>𝐹𝐷</w:t>
      </w:r>
      <w:r w:rsidRPr="00FF0259">
        <w:rPr>
          <w:vertAlign w:val="subscript"/>
        </w:rPr>
        <w:t>1</w:t>
      </w:r>
      <w:r w:rsidRPr="00FF0259">
        <w:rPr>
          <w:rFonts w:ascii="Cambria Math" w:hAnsi="Cambria Math"/>
        </w:rPr>
        <w:t>𝑖𝑡</w:t>
      </w:r>
      <w:r w:rsidRPr="00FF0259">
        <w:t xml:space="preserve"> – </w:t>
      </w:r>
      <w:r w:rsidRPr="00FF0259">
        <w:rPr>
          <w:rFonts w:ascii="Cambria Math" w:hAnsi="Cambria Math"/>
        </w:rPr>
        <w:t>𝛽</w:t>
      </w:r>
      <w:r w:rsidRPr="00FF0259">
        <w:rPr>
          <w:vertAlign w:val="subscript"/>
        </w:rPr>
        <w:t>3</w:t>
      </w:r>
      <w:r w:rsidRPr="00FF0259">
        <w:rPr>
          <w:rFonts w:ascii="Cambria Math" w:hAnsi="Cambria Math"/>
        </w:rPr>
        <w:t>𝑌𝑖𝑡</w:t>
      </w:r>
      <w:r w:rsidRPr="00FF0259">
        <w:t xml:space="preserve"> + </w:t>
      </w:r>
      <w:r w:rsidRPr="00FF0259">
        <w:rPr>
          <w:rFonts w:ascii="Cambria Math" w:hAnsi="Cambria Math"/>
        </w:rPr>
        <w:t>𝛽</w:t>
      </w:r>
      <w:r w:rsidRPr="00FF0259">
        <w:rPr>
          <w:vertAlign w:val="subscript"/>
        </w:rPr>
        <w:t>4</w:t>
      </w:r>
      <w:r w:rsidRPr="00FF0259">
        <w:rPr>
          <w:rFonts w:ascii="Cambria Math" w:hAnsi="Cambria Math"/>
        </w:rPr>
        <w:t>𝐾𝑃𝑖𝑡</w:t>
      </w:r>
      <w:r w:rsidRPr="00FF0259">
        <w:t xml:space="preserve"> + </w:t>
      </w:r>
      <w:r w:rsidRPr="00FF0259">
        <w:rPr>
          <w:rFonts w:ascii="Cambria Math" w:hAnsi="Cambria Math"/>
        </w:rPr>
        <w:t>𝛽</w:t>
      </w:r>
      <w:r w:rsidRPr="00FF0259">
        <w:rPr>
          <w:vertAlign w:val="subscript"/>
        </w:rPr>
        <w:t>5</w:t>
      </w:r>
      <w:r w:rsidRPr="00FF0259">
        <w:rPr>
          <w:rFonts w:ascii="Cambria Math" w:hAnsi="Cambria Math"/>
        </w:rPr>
        <w:t>𝑃𝑀𝑖𝑡</w:t>
      </w:r>
      <w:r w:rsidRPr="00FF0259">
        <w:t xml:space="preserve"> + </w:t>
      </w:r>
      <w:r w:rsidRPr="00FF0259">
        <w:rPr>
          <w:rFonts w:ascii="Cambria Math" w:hAnsi="Cambria Math"/>
        </w:rPr>
        <w:t>𝛽</w:t>
      </w:r>
      <w:r w:rsidRPr="00FF0259">
        <w:rPr>
          <w:vertAlign w:val="subscript"/>
        </w:rPr>
        <w:t>6</w:t>
      </w:r>
      <w:r w:rsidRPr="00FF0259">
        <w:rPr>
          <w:rFonts w:ascii="Cambria Math" w:hAnsi="Cambria Math"/>
        </w:rPr>
        <w:t>𝑇𝑃𝑇𝑖𝑡</w:t>
      </w:r>
      <w:r w:rsidRPr="00FF0259">
        <w:t xml:space="preserve"> + </w:t>
      </w:r>
      <w:r w:rsidRPr="00FF0259">
        <w:rPr>
          <w:rFonts w:ascii="Cambria Math" w:hAnsi="Cambria Math"/>
        </w:rPr>
        <w:t>𝑢𝑖𝑡</w:t>
      </w:r>
      <w:r>
        <w:t>…</w:t>
      </w:r>
      <w:proofErr w:type="gramStart"/>
      <w:r w:rsidR="00CA7A6F">
        <w:t>…</w:t>
      </w:r>
      <w:r w:rsidR="007436CE">
        <w:t>..</w:t>
      </w:r>
      <w:proofErr w:type="gramEnd"/>
      <w:r w:rsidR="00CA7A6F">
        <w:t>…….</w:t>
      </w:r>
      <w:r>
        <w:t>..</w:t>
      </w:r>
      <w:r w:rsidRPr="00FF0259">
        <w:t>(</w:t>
      </w:r>
      <w:r w:rsidR="00BB6278">
        <w:t>1</w:t>
      </w:r>
      <w:r w:rsidRPr="00FF0259">
        <w:t>)</w:t>
      </w:r>
    </w:p>
    <w:p w14:paraId="0F813590" w14:textId="43053F42" w:rsidR="00506FCE" w:rsidRDefault="00506FCE" w:rsidP="00C1005A">
      <w:pPr>
        <w:spacing w:before="60" w:after="60"/>
        <w:ind w:firstLine="567"/>
        <w:jc w:val="both"/>
      </w:pPr>
      <w:r w:rsidRPr="00FF0259">
        <w:rPr>
          <w:rFonts w:ascii="Cambria Math" w:hAnsi="Cambria Math"/>
        </w:rPr>
        <w:t>𝐺𝑅𝑖𝑡</w:t>
      </w:r>
      <w:r w:rsidRPr="00FF0259">
        <w:t xml:space="preserve"> = </w:t>
      </w:r>
      <w:r w:rsidRPr="00FF0259">
        <w:rPr>
          <w:rFonts w:ascii="Cambria Math" w:hAnsi="Cambria Math"/>
        </w:rPr>
        <w:t>𝛽</w:t>
      </w:r>
      <w:r w:rsidRPr="00FF0259">
        <w:rPr>
          <w:vertAlign w:val="subscript"/>
        </w:rPr>
        <w:t>1</w:t>
      </w:r>
      <w:r w:rsidRPr="00FF0259">
        <w:t xml:space="preserve"> − </w:t>
      </w:r>
      <w:r w:rsidRPr="00FF0259">
        <w:rPr>
          <w:rFonts w:ascii="Cambria Math" w:hAnsi="Cambria Math"/>
        </w:rPr>
        <w:t>𝛽</w:t>
      </w:r>
      <w:r w:rsidRPr="00FF0259">
        <w:rPr>
          <w:vertAlign w:val="subscript"/>
        </w:rPr>
        <w:t>2</w:t>
      </w:r>
      <w:r w:rsidRPr="00FF0259">
        <w:rPr>
          <w:rFonts w:ascii="Cambria Math" w:hAnsi="Cambria Math"/>
        </w:rPr>
        <w:t>𝐹𝐷</w:t>
      </w:r>
      <w:r w:rsidRPr="00FF0259">
        <w:rPr>
          <w:vertAlign w:val="subscript"/>
        </w:rPr>
        <w:t>2</w:t>
      </w:r>
      <w:r w:rsidRPr="00FF0259">
        <w:rPr>
          <w:rFonts w:ascii="Cambria Math" w:hAnsi="Cambria Math"/>
        </w:rPr>
        <w:t>𝑖𝑡</w:t>
      </w:r>
      <w:r w:rsidRPr="00FF0259">
        <w:t xml:space="preserve"> – </w:t>
      </w:r>
      <w:r w:rsidRPr="00FF0259">
        <w:rPr>
          <w:rFonts w:ascii="Cambria Math" w:hAnsi="Cambria Math"/>
        </w:rPr>
        <w:t>𝛽</w:t>
      </w:r>
      <w:r w:rsidRPr="00FF0259">
        <w:rPr>
          <w:vertAlign w:val="subscript"/>
        </w:rPr>
        <w:t>3</w:t>
      </w:r>
      <w:r w:rsidRPr="00FF0259">
        <w:rPr>
          <w:rFonts w:ascii="Cambria Math" w:hAnsi="Cambria Math"/>
        </w:rPr>
        <w:t>𝑌𝑖𝑡</w:t>
      </w:r>
      <w:r w:rsidRPr="00FF0259">
        <w:t xml:space="preserve"> + </w:t>
      </w:r>
      <w:r w:rsidRPr="00FF0259">
        <w:rPr>
          <w:rFonts w:ascii="Cambria Math" w:hAnsi="Cambria Math"/>
        </w:rPr>
        <w:t>𝛽</w:t>
      </w:r>
      <w:r w:rsidRPr="00FF0259">
        <w:rPr>
          <w:vertAlign w:val="subscript"/>
        </w:rPr>
        <w:t>4</w:t>
      </w:r>
      <w:r w:rsidRPr="00FF0259">
        <w:rPr>
          <w:rFonts w:ascii="Cambria Math" w:hAnsi="Cambria Math"/>
        </w:rPr>
        <w:t>𝐾𝑃𝑖𝑡</w:t>
      </w:r>
      <w:r w:rsidRPr="00FF0259">
        <w:t xml:space="preserve"> + </w:t>
      </w:r>
      <w:r w:rsidRPr="00FF0259">
        <w:rPr>
          <w:rFonts w:ascii="Cambria Math" w:hAnsi="Cambria Math"/>
        </w:rPr>
        <w:t>𝛽</w:t>
      </w:r>
      <w:r w:rsidRPr="00FF0259">
        <w:rPr>
          <w:vertAlign w:val="subscript"/>
        </w:rPr>
        <w:t>5</w:t>
      </w:r>
      <w:r w:rsidRPr="00FF0259">
        <w:rPr>
          <w:rFonts w:ascii="Cambria Math" w:hAnsi="Cambria Math"/>
        </w:rPr>
        <w:t>𝑃𝑀𝑖𝑡</w:t>
      </w:r>
      <w:r w:rsidRPr="00FF0259">
        <w:t xml:space="preserve"> + </w:t>
      </w:r>
      <w:r w:rsidRPr="00FF0259">
        <w:rPr>
          <w:rFonts w:ascii="Cambria Math" w:hAnsi="Cambria Math"/>
        </w:rPr>
        <w:t>𝛽</w:t>
      </w:r>
      <w:r w:rsidRPr="00FF0259">
        <w:rPr>
          <w:vertAlign w:val="subscript"/>
        </w:rPr>
        <w:t>6</w:t>
      </w:r>
      <w:r w:rsidRPr="00FF0259">
        <w:rPr>
          <w:rFonts w:ascii="Cambria Math" w:hAnsi="Cambria Math"/>
        </w:rPr>
        <w:t>𝑇𝑃𝑇𝑖𝑡</w:t>
      </w:r>
      <w:r w:rsidRPr="00FF0259">
        <w:t xml:space="preserve"> + </w:t>
      </w:r>
      <w:r w:rsidRPr="00FF0259">
        <w:rPr>
          <w:rFonts w:ascii="Cambria Math" w:hAnsi="Cambria Math"/>
        </w:rPr>
        <w:t>𝑢𝑖𝑡</w:t>
      </w:r>
      <w:r>
        <w:t>…</w:t>
      </w:r>
      <w:r w:rsidR="00CA7A6F">
        <w:t>…</w:t>
      </w:r>
      <w:proofErr w:type="gramStart"/>
      <w:r w:rsidR="00CA7A6F">
        <w:t>…</w:t>
      </w:r>
      <w:r w:rsidR="007436CE">
        <w:t>..</w:t>
      </w:r>
      <w:proofErr w:type="gramEnd"/>
      <w:r w:rsidR="00CA7A6F">
        <w:t>….</w:t>
      </w:r>
      <w:r>
        <w:t>..</w:t>
      </w:r>
      <w:r w:rsidRPr="00FF0259">
        <w:t>(</w:t>
      </w:r>
      <w:r w:rsidR="00BB6278">
        <w:t>2</w:t>
      </w:r>
      <w:r w:rsidRPr="00FF0259">
        <w:t>)</w:t>
      </w:r>
    </w:p>
    <w:p w14:paraId="6AF09526" w14:textId="50E4F1B2" w:rsidR="00506FCE" w:rsidRPr="00D46E30" w:rsidRDefault="00506FCE" w:rsidP="00FB44B3">
      <w:pPr>
        <w:spacing w:before="60" w:after="120"/>
        <w:ind w:firstLine="567"/>
        <w:jc w:val="both"/>
      </w:pPr>
      <w:r w:rsidRPr="00FF0259">
        <w:rPr>
          <w:rFonts w:ascii="Cambria Math" w:hAnsi="Cambria Math"/>
        </w:rPr>
        <w:t>𝐺𝑅𝑖𝑡</w:t>
      </w:r>
      <w:r w:rsidRPr="00FF0259">
        <w:t xml:space="preserve"> = </w:t>
      </w:r>
      <w:r w:rsidRPr="00FF0259">
        <w:rPr>
          <w:rFonts w:ascii="Cambria Math" w:hAnsi="Cambria Math"/>
        </w:rPr>
        <w:t>𝛽</w:t>
      </w:r>
      <w:r w:rsidRPr="00FF0259">
        <w:rPr>
          <w:vertAlign w:val="subscript"/>
        </w:rPr>
        <w:t>1</w:t>
      </w:r>
      <w:r w:rsidRPr="00FF0259">
        <w:t xml:space="preserve"> − </w:t>
      </w:r>
      <w:r w:rsidRPr="00FF0259">
        <w:rPr>
          <w:rFonts w:ascii="Cambria Math" w:hAnsi="Cambria Math"/>
        </w:rPr>
        <w:t>𝛽</w:t>
      </w:r>
      <w:r w:rsidRPr="00FF0259">
        <w:rPr>
          <w:vertAlign w:val="subscript"/>
        </w:rPr>
        <w:t>2</w:t>
      </w:r>
      <w:r w:rsidRPr="00FF0259">
        <w:rPr>
          <w:rFonts w:ascii="Cambria Math" w:hAnsi="Cambria Math"/>
        </w:rPr>
        <w:t>𝐹𝐷</w:t>
      </w:r>
      <w:r w:rsidRPr="00FF0259">
        <w:rPr>
          <w:vertAlign w:val="subscript"/>
        </w:rPr>
        <w:t>3</w:t>
      </w:r>
      <w:r w:rsidRPr="00FF0259">
        <w:rPr>
          <w:rFonts w:ascii="Cambria Math" w:hAnsi="Cambria Math"/>
        </w:rPr>
        <w:t>𝑖𝑡</w:t>
      </w:r>
      <w:r w:rsidRPr="00FF0259">
        <w:t xml:space="preserve"> – </w:t>
      </w:r>
      <w:r w:rsidRPr="00FF0259">
        <w:rPr>
          <w:rFonts w:ascii="Cambria Math" w:hAnsi="Cambria Math"/>
        </w:rPr>
        <w:t>𝛽</w:t>
      </w:r>
      <w:r w:rsidRPr="00FF0259">
        <w:rPr>
          <w:vertAlign w:val="subscript"/>
        </w:rPr>
        <w:t>3</w:t>
      </w:r>
      <w:r w:rsidRPr="00FF0259">
        <w:rPr>
          <w:rFonts w:ascii="Cambria Math" w:hAnsi="Cambria Math"/>
        </w:rPr>
        <w:t>𝑌𝑖𝑡</w:t>
      </w:r>
      <w:r w:rsidRPr="00FF0259">
        <w:t xml:space="preserve"> + </w:t>
      </w:r>
      <w:r w:rsidRPr="00FF0259">
        <w:rPr>
          <w:rFonts w:ascii="Cambria Math" w:hAnsi="Cambria Math"/>
        </w:rPr>
        <w:t>𝛽</w:t>
      </w:r>
      <w:r w:rsidRPr="00FF0259">
        <w:rPr>
          <w:vertAlign w:val="subscript"/>
        </w:rPr>
        <w:t>4</w:t>
      </w:r>
      <w:r w:rsidRPr="00FF0259">
        <w:rPr>
          <w:rFonts w:ascii="Cambria Math" w:hAnsi="Cambria Math"/>
        </w:rPr>
        <w:t>𝐾𝑃𝑖𝑡</w:t>
      </w:r>
      <w:r w:rsidRPr="00FF0259">
        <w:t xml:space="preserve"> + </w:t>
      </w:r>
      <w:r w:rsidRPr="00FF0259">
        <w:rPr>
          <w:rFonts w:ascii="Cambria Math" w:hAnsi="Cambria Math"/>
        </w:rPr>
        <w:t>𝛽</w:t>
      </w:r>
      <w:r w:rsidRPr="00FF0259">
        <w:rPr>
          <w:vertAlign w:val="subscript"/>
        </w:rPr>
        <w:t>5</w:t>
      </w:r>
      <w:r w:rsidRPr="00FF0259">
        <w:rPr>
          <w:rFonts w:ascii="Cambria Math" w:hAnsi="Cambria Math"/>
        </w:rPr>
        <w:t>𝑃𝑀𝑖𝑡</w:t>
      </w:r>
      <w:r w:rsidRPr="00FF0259">
        <w:t xml:space="preserve"> + </w:t>
      </w:r>
      <w:r w:rsidRPr="00FF0259">
        <w:rPr>
          <w:rFonts w:ascii="Cambria Math" w:hAnsi="Cambria Math"/>
        </w:rPr>
        <w:t>𝛽</w:t>
      </w:r>
      <w:r w:rsidRPr="00FF0259">
        <w:rPr>
          <w:vertAlign w:val="subscript"/>
        </w:rPr>
        <w:t>6</w:t>
      </w:r>
      <w:r w:rsidRPr="00FF0259">
        <w:rPr>
          <w:rFonts w:ascii="Cambria Math" w:hAnsi="Cambria Math"/>
        </w:rPr>
        <w:t>𝑇𝑃𝑇𝑖𝑡</w:t>
      </w:r>
      <w:r w:rsidRPr="00FF0259">
        <w:t xml:space="preserve"> + </w:t>
      </w:r>
      <w:r w:rsidRPr="00FF0259">
        <w:rPr>
          <w:rFonts w:ascii="Cambria Math" w:hAnsi="Cambria Math"/>
        </w:rPr>
        <w:t>𝑢𝑖𝑡</w:t>
      </w:r>
      <w:r w:rsidRPr="00FF0259">
        <w:t>…</w:t>
      </w:r>
      <w:r w:rsidR="00CA7A6F">
        <w:t>…</w:t>
      </w:r>
      <w:proofErr w:type="gramStart"/>
      <w:r w:rsidR="00CA7A6F">
        <w:t>…</w:t>
      </w:r>
      <w:r w:rsidR="007436CE">
        <w:t>..</w:t>
      </w:r>
      <w:proofErr w:type="gramEnd"/>
      <w:r w:rsidR="00CA7A6F">
        <w:t>….</w:t>
      </w:r>
      <w:r>
        <w:t>..</w:t>
      </w:r>
      <w:r w:rsidRPr="00FF0259">
        <w:t>(</w:t>
      </w:r>
      <w:r w:rsidR="00BB6278">
        <w:t>3</w:t>
      </w:r>
      <w:r w:rsidRPr="00FF0259">
        <w:t>)</w:t>
      </w:r>
    </w:p>
    <w:p w14:paraId="2A96C9B8" w14:textId="6EFB7180" w:rsidR="00506FCE" w:rsidRDefault="00506FCE" w:rsidP="00E45DA0">
      <w:pPr>
        <w:ind w:firstLine="567"/>
        <w:jc w:val="both"/>
      </w:pPr>
      <w:r w:rsidRPr="00FF0259">
        <w:rPr>
          <w:rFonts w:ascii="Cambria Math" w:hAnsi="Cambria Math"/>
        </w:rPr>
        <w:t>𝐺𝑅𝑖𝑡</w:t>
      </w:r>
      <w:r w:rsidRPr="00FF0259">
        <w:t xml:space="preserve"> = Gini Ra</w:t>
      </w:r>
      <w:r w:rsidR="008E3E45">
        <w:t>t</w:t>
      </w:r>
      <w:r w:rsidRPr="00FF0259">
        <w:t xml:space="preserve">io, </w:t>
      </w:r>
      <w:r w:rsidRPr="00FF0259">
        <w:rPr>
          <w:rFonts w:ascii="Cambria Math" w:hAnsi="Cambria Math"/>
        </w:rPr>
        <w:t>𝛽</w:t>
      </w:r>
      <w:r w:rsidRPr="00FF0259">
        <w:rPr>
          <w:vertAlign w:val="subscript"/>
        </w:rPr>
        <w:t>2</w:t>
      </w:r>
      <w:r w:rsidRPr="00FF0259">
        <w:rPr>
          <w:rFonts w:ascii="Cambria Math" w:hAnsi="Cambria Math"/>
        </w:rPr>
        <w:t>𝐹𝐷</w:t>
      </w:r>
      <w:r w:rsidRPr="00FF0259">
        <w:rPr>
          <w:vertAlign w:val="subscript"/>
        </w:rPr>
        <w:t>1</w:t>
      </w:r>
      <w:r w:rsidRPr="00FF0259">
        <w:rPr>
          <w:rFonts w:ascii="Cambria Math" w:hAnsi="Cambria Math"/>
        </w:rPr>
        <w:t>𝑖𝑡</w:t>
      </w:r>
      <w:r w:rsidRPr="00FF0259">
        <w:t xml:space="preserve">= </w:t>
      </w:r>
      <w:r w:rsidR="008E3E45">
        <w:t xml:space="preserve">ratio Credit/GDRP </w:t>
      </w:r>
      <w:r w:rsidRPr="00FF0259">
        <w:t xml:space="preserve">(FD1), </w:t>
      </w:r>
      <w:r w:rsidRPr="00FF0259">
        <w:rPr>
          <w:rFonts w:ascii="Cambria Math" w:hAnsi="Cambria Math"/>
        </w:rPr>
        <w:t>𝛽</w:t>
      </w:r>
      <w:r w:rsidRPr="00FF0259">
        <w:rPr>
          <w:vertAlign w:val="subscript"/>
        </w:rPr>
        <w:t>2</w:t>
      </w:r>
      <w:r w:rsidRPr="00FF0259">
        <w:rPr>
          <w:rFonts w:ascii="Cambria Math" w:hAnsi="Cambria Math"/>
        </w:rPr>
        <w:t>𝐹𝐷</w:t>
      </w:r>
      <w:r w:rsidRPr="00FF0259">
        <w:rPr>
          <w:vertAlign w:val="subscript"/>
        </w:rPr>
        <w:t>2</w:t>
      </w:r>
      <w:r w:rsidRPr="00FF0259">
        <w:rPr>
          <w:rFonts w:ascii="Cambria Math" w:hAnsi="Cambria Math"/>
        </w:rPr>
        <w:t>𝑖𝑡</w:t>
      </w:r>
      <w:r w:rsidRPr="00FF0259">
        <w:t xml:space="preserve"> = </w:t>
      </w:r>
      <w:r w:rsidR="008E3E45">
        <w:t xml:space="preserve">ratio asset/GDRP </w:t>
      </w:r>
      <w:r w:rsidRPr="00FF0259">
        <w:t xml:space="preserve">(FD2), </w:t>
      </w:r>
      <w:r w:rsidRPr="00FF0259">
        <w:rPr>
          <w:rFonts w:ascii="Cambria Math" w:hAnsi="Cambria Math"/>
        </w:rPr>
        <w:t>𝛽</w:t>
      </w:r>
      <w:r w:rsidRPr="00FF0259">
        <w:rPr>
          <w:vertAlign w:val="subscript"/>
        </w:rPr>
        <w:t>2</w:t>
      </w:r>
      <w:r w:rsidRPr="00FF0259">
        <w:rPr>
          <w:rFonts w:ascii="Cambria Math" w:hAnsi="Cambria Math"/>
        </w:rPr>
        <w:t>𝐹𝐷</w:t>
      </w:r>
      <w:r w:rsidRPr="00FF0259">
        <w:rPr>
          <w:vertAlign w:val="subscript"/>
        </w:rPr>
        <w:t>3</w:t>
      </w:r>
      <w:r w:rsidRPr="00FF0259">
        <w:rPr>
          <w:rFonts w:ascii="Cambria Math" w:hAnsi="Cambria Math"/>
        </w:rPr>
        <w:t>𝑖𝑡</w:t>
      </w:r>
      <w:r w:rsidRPr="00FF0259">
        <w:t xml:space="preserve"> = </w:t>
      </w:r>
      <w:r w:rsidR="008E3E45">
        <w:t>ratio of third party fund/GDRP</w:t>
      </w:r>
      <w:r w:rsidRPr="00FF0259">
        <w:t xml:space="preserve"> (FD3</w:t>
      </w:r>
      <w:proofErr w:type="gramStart"/>
      <w:r w:rsidRPr="00FF0259">
        <w:t xml:space="preserve">),  </w:t>
      </w:r>
      <w:r w:rsidRPr="00FF0259">
        <w:rPr>
          <w:rFonts w:ascii="Cambria Math" w:hAnsi="Cambria Math"/>
        </w:rPr>
        <w:t>𝛽</w:t>
      </w:r>
      <w:proofErr w:type="gramEnd"/>
      <w:r w:rsidRPr="00FF0259">
        <w:rPr>
          <w:vertAlign w:val="subscript"/>
        </w:rPr>
        <w:t>3</w:t>
      </w:r>
      <w:r w:rsidRPr="00FF0259">
        <w:rPr>
          <w:rFonts w:ascii="Cambria Math" w:hAnsi="Cambria Math"/>
        </w:rPr>
        <w:t>𝑌𝑖𝑡</w:t>
      </w:r>
      <w:r w:rsidRPr="00FF0259">
        <w:t xml:space="preserve"> = APBD (</w:t>
      </w:r>
      <w:r w:rsidR="008E3E45">
        <w:t>regional revenue</w:t>
      </w:r>
      <w:r w:rsidRPr="00FF0259">
        <w:t xml:space="preserve">), </w:t>
      </w:r>
      <w:r w:rsidRPr="00FF0259">
        <w:rPr>
          <w:rFonts w:ascii="Cambria Math" w:hAnsi="Cambria Math"/>
        </w:rPr>
        <w:t>𝛽</w:t>
      </w:r>
      <w:r w:rsidRPr="00FF0259">
        <w:rPr>
          <w:vertAlign w:val="subscript"/>
        </w:rPr>
        <w:t>4</w:t>
      </w:r>
      <w:r w:rsidRPr="00FF0259">
        <w:rPr>
          <w:rFonts w:ascii="Cambria Math" w:hAnsi="Cambria Math"/>
        </w:rPr>
        <w:t>𝐾𝑃𝑖𝑡</w:t>
      </w:r>
      <w:r w:rsidRPr="00FF0259">
        <w:t xml:space="preserve"> = </w:t>
      </w:r>
      <w:r w:rsidR="008E3E45">
        <w:t>density population</w:t>
      </w:r>
      <w:r w:rsidRPr="00FF0259">
        <w:t xml:space="preserve">, </w:t>
      </w:r>
      <w:r w:rsidRPr="00FF0259">
        <w:rPr>
          <w:rFonts w:ascii="Cambria Math" w:hAnsi="Cambria Math"/>
        </w:rPr>
        <w:t>𝛽</w:t>
      </w:r>
      <w:r w:rsidRPr="00FF0259">
        <w:rPr>
          <w:vertAlign w:val="subscript"/>
        </w:rPr>
        <w:t>5</w:t>
      </w:r>
      <w:r w:rsidRPr="00FF0259">
        <w:rPr>
          <w:rFonts w:ascii="Cambria Math" w:hAnsi="Cambria Math"/>
        </w:rPr>
        <w:t>𝑃𝑀𝑖𝑡</w:t>
      </w:r>
      <w:r w:rsidRPr="00FF0259">
        <w:t xml:space="preserve"> = </w:t>
      </w:r>
      <w:r w:rsidR="008E3E45">
        <w:t>number of poor population</w:t>
      </w:r>
      <w:r w:rsidRPr="00FF0259">
        <w:t xml:space="preserve">, </w:t>
      </w:r>
      <w:r w:rsidRPr="00FF0259">
        <w:rPr>
          <w:rFonts w:ascii="Cambria Math" w:hAnsi="Cambria Math"/>
        </w:rPr>
        <w:t>𝛽</w:t>
      </w:r>
      <w:r w:rsidRPr="00FF0259">
        <w:rPr>
          <w:vertAlign w:val="subscript"/>
        </w:rPr>
        <w:t>6</w:t>
      </w:r>
      <w:r w:rsidRPr="00FF0259">
        <w:rPr>
          <w:rFonts w:ascii="Cambria Math" w:hAnsi="Cambria Math"/>
        </w:rPr>
        <w:t>𝑇𝑃𝑇𝑖𝑡</w:t>
      </w:r>
      <w:r w:rsidRPr="00FF0259">
        <w:t xml:space="preserve"> = </w:t>
      </w:r>
      <w:r w:rsidR="008E3E45">
        <w:t>unemployment rate</w:t>
      </w:r>
      <w:r w:rsidRPr="00FF0259">
        <w:t>.</w:t>
      </w:r>
    </w:p>
    <w:p w14:paraId="3F3E1DA8" w14:textId="77777777" w:rsidR="00E45DA0" w:rsidRPr="00D46E30" w:rsidRDefault="00E45DA0" w:rsidP="00A052B4">
      <w:pPr>
        <w:spacing w:line="233" w:lineRule="auto"/>
        <w:ind w:firstLine="567"/>
        <w:jc w:val="both"/>
      </w:pPr>
    </w:p>
    <w:p w14:paraId="75C55582" w14:textId="77777777" w:rsidR="00506FCE" w:rsidRPr="00B6186A" w:rsidRDefault="00300980" w:rsidP="00A052B4">
      <w:pPr>
        <w:spacing w:line="233" w:lineRule="auto"/>
        <w:rPr>
          <w:b/>
        </w:rPr>
      </w:pPr>
      <w:r>
        <w:rPr>
          <w:b/>
        </w:rPr>
        <w:t>RESULTS AND DISCUSSION</w:t>
      </w:r>
    </w:p>
    <w:p w14:paraId="2E6E48E0" w14:textId="16A30B23" w:rsidR="00506FCE" w:rsidRDefault="00506FCE" w:rsidP="00A052B4">
      <w:pPr>
        <w:adjustRightInd w:val="0"/>
        <w:spacing w:before="120" w:line="233" w:lineRule="auto"/>
        <w:rPr>
          <w:b/>
        </w:rPr>
      </w:pPr>
      <w:r>
        <w:rPr>
          <w:b/>
        </w:rPr>
        <w:t>Chow</w:t>
      </w:r>
      <w:r w:rsidR="008E3E45">
        <w:rPr>
          <w:b/>
        </w:rPr>
        <w:t xml:space="preserve"> </w:t>
      </w:r>
      <w:r w:rsidR="00D11DFB">
        <w:rPr>
          <w:b/>
        </w:rPr>
        <w:t>t</w:t>
      </w:r>
      <w:r w:rsidR="008E3E45">
        <w:rPr>
          <w:b/>
        </w:rPr>
        <w:t>est</w:t>
      </w:r>
      <w:r w:rsidR="00003444">
        <w:rPr>
          <w:b/>
        </w:rPr>
        <w:t xml:space="preserve"> and Hausman </w:t>
      </w:r>
      <w:r w:rsidR="00D11DFB">
        <w:rPr>
          <w:b/>
        </w:rPr>
        <w:t>t</w:t>
      </w:r>
      <w:r w:rsidR="00003444">
        <w:rPr>
          <w:b/>
        </w:rPr>
        <w:t>est</w:t>
      </w:r>
    </w:p>
    <w:p w14:paraId="59EEE6D8" w14:textId="24139555" w:rsidR="00003444" w:rsidRDefault="00A634D9" w:rsidP="00A052B4">
      <w:pPr>
        <w:spacing w:line="233" w:lineRule="auto"/>
        <w:ind w:firstLine="567"/>
        <w:jc w:val="both"/>
      </w:pPr>
      <w:r w:rsidRPr="00A634D9">
        <w:t>The Chow test</w:t>
      </w:r>
      <w:r w:rsidR="00D205C2">
        <w:t xml:space="preserve"> </w:t>
      </w:r>
      <w:r w:rsidRPr="00A634D9">
        <w:t>is used to classify between Common Effect Model or Fixed Effect Model methods (</w:t>
      </w:r>
      <w:proofErr w:type="spellStart"/>
      <w:r w:rsidRPr="00A634D9">
        <w:t>Baltagi</w:t>
      </w:r>
      <w:proofErr w:type="spellEnd"/>
      <w:r w:rsidRPr="00A634D9">
        <w:t xml:space="preserve">, 2005). </w:t>
      </w:r>
      <w:r w:rsidR="009E7E41">
        <w:t>If</w:t>
      </w:r>
      <w:r w:rsidRPr="00A634D9">
        <w:t xml:space="preserve"> the P-value </w:t>
      </w:r>
      <w:r w:rsidR="00003444">
        <w:t>is smaller than t</w:t>
      </w:r>
      <w:r w:rsidRPr="00A634D9">
        <w:t xml:space="preserve">he </w:t>
      </w:r>
      <w:r w:rsidR="00003444" w:rsidRPr="00003444">
        <w:t>significance level of 0.05</w:t>
      </w:r>
      <w:r w:rsidRPr="00A634D9">
        <w:t xml:space="preserve">, the selected model is a fixed model. </w:t>
      </w:r>
      <w:r w:rsidR="00003444" w:rsidRPr="00003444">
        <w:t xml:space="preserve">Otherwise, the model used </w:t>
      </w:r>
      <w:r w:rsidRPr="00A634D9">
        <w:t>is the Common Effect Model.</w:t>
      </w:r>
      <w:r w:rsidR="00003444">
        <w:t xml:space="preserve"> </w:t>
      </w:r>
      <w:r w:rsidR="00003444" w:rsidRPr="00003444">
        <w:t xml:space="preserve">Based on Table 1, the </w:t>
      </w:r>
      <w:r w:rsidR="00A61C7A">
        <w:t>best</w:t>
      </w:r>
      <w:r w:rsidR="00003444" w:rsidRPr="00003444">
        <w:t xml:space="preserve"> method for the three models is the Fixed Effect Model.</w:t>
      </w:r>
    </w:p>
    <w:p w14:paraId="48FB13AD" w14:textId="46223DD2" w:rsidR="00506FCE" w:rsidRPr="00C559EF" w:rsidRDefault="008E3E45" w:rsidP="00C559EF">
      <w:pPr>
        <w:spacing w:before="120" w:after="60"/>
        <w:rPr>
          <w:b/>
          <w:sz w:val="22"/>
          <w:szCs w:val="22"/>
        </w:rPr>
      </w:pPr>
      <w:r w:rsidRPr="00C559EF">
        <w:rPr>
          <w:b/>
          <w:sz w:val="22"/>
          <w:szCs w:val="22"/>
        </w:rPr>
        <w:t>Table</w:t>
      </w:r>
      <w:r w:rsidR="00506FCE" w:rsidRPr="00C559EF">
        <w:rPr>
          <w:b/>
          <w:sz w:val="22"/>
          <w:szCs w:val="22"/>
        </w:rPr>
        <w:t xml:space="preserve"> 1</w:t>
      </w:r>
      <w:r w:rsidR="00492778" w:rsidRPr="00C559EF">
        <w:rPr>
          <w:b/>
          <w:sz w:val="22"/>
          <w:szCs w:val="22"/>
        </w:rPr>
        <w:t xml:space="preserve">. </w:t>
      </w:r>
      <w:r w:rsidRPr="00C559EF">
        <w:rPr>
          <w:bCs/>
          <w:sz w:val="22"/>
          <w:szCs w:val="22"/>
        </w:rPr>
        <w:t xml:space="preserve">Chow </w:t>
      </w:r>
      <w:r w:rsidR="004E5FC0" w:rsidRPr="00C559EF">
        <w:rPr>
          <w:bCs/>
          <w:sz w:val="22"/>
          <w:szCs w:val="22"/>
        </w:rPr>
        <w:t>test results</w:t>
      </w:r>
    </w:p>
    <w:tbl>
      <w:tblPr>
        <w:tblStyle w:val="TableGrid"/>
        <w:tblW w:w="8500" w:type="dxa"/>
        <w:tblBorders>
          <w:left w:val="none" w:sz="0" w:space="0" w:color="auto"/>
          <w:right w:val="none" w:sz="0" w:space="0" w:color="auto"/>
          <w:insideV w:val="none" w:sz="0" w:space="0" w:color="auto"/>
        </w:tblBorders>
        <w:tblLook w:val="04A0" w:firstRow="1" w:lastRow="0" w:firstColumn="1" w:lastColumn="0" w:noHBand="0" w:noVBand="1"/>
      </w:tblPr>
      <w:tblGrid>
        <w:gridCol w:w="3256"/>
        <w:gridCol w:w="1842"/>
        <w:gridCol w:w="1701"/>
        <w:gridCol w:w="1701"/>
      </w:tblGrid>
      <w:tr w:rsidR="004E5FC0" w:rsidRPr="004E5FC0" w14:paraId="11EB200A" w14:textId="77777777" w:rsidTr="00667B80">
        <w:tc>
          <w:tcPr>
            <w:tcW w:w="3256" w:type="dxa"/>
            <w:tcBorders>
              <w:bottom w:val="single" w:sz="4" w:space="0" w:color="000000"/>
            </w:tcBorders>
          </w:tcPr>
          <w:p w14:paraId="4DF10BD2" w14:textId="77777777" w:rsidR="004E5FC0" w:rsidRPr="004E5FC0" w:rsidRDefault="004E5FC0" w:rsidP="00CC2DCD">
            <w:pPr>
              <w:adjustRightInd w:val="0"/>
              <w:rPr>
                <w:bCs/>
                <w:iCs/>
                <w:color w:val="000000"/>
                <w:sz w:val="22"/>
                <w:szCs w:val="22"/>
              </w:rPr>
            </w:pPr>
            <w:r w:rsidRPr="004E5FC0">
              <w:rPr>
                <w:bCs/>
                <w:iCs/>
                <w:color w:val="000000"/>
                <w:sz w:val="22"/>
                <w:szCs w:val="22"/>
              </w:rPr>
              <w:t>Redundant Fixed Effect Test</w:t>
            </w:r>
          </w:p>
        </w:tc>
        <w:tc>
          <w:tcPr>
            <w:tcW w:w="1842" w:type="dxa"/>
            <w:tcBorders>
              <w:bottom w:val="single" w:sz="4" w:space="0" w:color="000000"/>
            </w:tcBorders>
          </w:tcPr>
          <w:p w14:paraId="335F5031" w14:textId="77777777" w:rsidR="004E5FC0" w:rsidRPr="004E5FC0" w:rsidRDefault="004E5FC0" w:rsidP="00CC2DCD">
            <w:pPr>
              <w:adjustRightInd w:val="0"/>
              <w:rPr>
                <w:bCs/>
                <w:iCs/>
                <w:color w:val="000000"/>
                <w:sz w:val="22"/>
                <w:szCs w:val="22"/>
              </w:rPr>
            </w:pPr>
            <w:r w:rsidRPr="004E5FC0">
              <w:rPr>
                <w:bCs/>
                <w:iCs/>
                <w:color w:val="000000"/>
                <w:sz w:val="22"/>
                <w:szCs w:val="22"/>
              </w:rPr>
              <w:t>Model 1 (FD1)</w:t>
            </w:r>
          </w:p>
        </w:tc>
        <w:tc>
          <w:tcPr>
            <w:tcW w:w="1701" w:type="dxa"/>
            <w:tcBorders>
              <w:bottom w:val="single" w:sz="4" w:space="0" w:color="000000"/>
            </w:tcBorders>
          </w:tcPr>
          <w:p w14:paraId="54C0E116" w14:textId="77777777" w:rsidR="004E5FC0" w:rsidRPr="004E5FC0" w:rsidRDefault="004E5FC0" w:rsidP="00CC2DCD">
            <w:pPr>
              <w:adjustRightInd w:val="0"/>
              <w:rPr>
                <w:bCs/>
                <w:iCs/>
                <w:color w:val="000000"/>
                <w:sz w:val="22"/>
                <w:szCs w:val="22"/>
              </w:rPr>
            </w:pPr>
            <w:r w:rsidRPr="004E5FC0">
              <w:rPr>
                <w:bCs/>
                <w:iCs/>
                <w:color w:val="000000"/>
                <w:sz w:val="22"/>
                <w:szCs w:val="22"/>
              </w:rPr>
              <w:t>Model 2 (FD2)</w:t>
            </w:r>
          </w:p>
        </w:tc>
        <w:tc>
          <w:tcPr>
            <w:tcW w:w="1701" w:type="dxa"/>
            <w:tcBorders>
              <w:bottom w:val="single" w:sz="4" w:space="0" w:color="000000"/>
            </w:tcBorders>
          </w:tcPr>
          <w:p w14:paraId="0687E3A9" w14:textId="77777777" w:rsidR="004E5FC0" w:rsidRPr="004E5FC0" w:rsidRDefault="004E5FC0" w:rsidP="00CC2DCD">
            <w:pPr>
              <w:adjustRightInd w:val="0"/>
              <w:rPr>
                <w:bCs/>
                <w:iCs/>
                <w:color w:val="000000"/>
                <w:sz w:val="22"/>
                <w:szCs w:val="22"/>
              </w:rPr>
            </w:pPr>
            <w:r w:rsidRPr="004E5FC0">
              <w:rPr>
                <w:bCs/>
                <w:iCs/>
                <w:color w:val="000000"/>
                <w:sz w:val="22"/>
                <w:szCs w:val="22"/>
              </w:rPr>
              <w:t>Model 3(FD3)</w:t>
            </w:r>
          </w:p>
        </w:tc>
      </w:tr>
      <w:tr w:rsidR="004E5FC0" w:rsidRPr="004E5FC0" w14:paraId="1A02D6A1" w14:textId="77777777" w:rsidTr="00667B80">
        <w:tc>
          <w:tcPr>
            <w:tcW w:w="3256" w:type="dxa"/>
            <w:tcBorders>
              <w:bottom w:val="nil"/>
            </w:tcBorders>
          </w:tcPr>
          <w:p w14:paraId="0438EAA4" w14:textId="77777777" w:rsidR="004E5FC0" w:rsidRPr="004E5FC0" w:rsidRDefault="004E5FC0" w:rsidP="004E5FC0">
            <w:pPr>
              <w:adjustRightInd w:val="0"/>
              <w:rPr>
                <w:color w:val="000000"/>
                <w:sz w:val="22"/>
                <w:szCs w:val="22"/>
              </w:rPr>
            </w:pPr>
            <w:r w:rsidRPr="004E5FC0">
              <w:rPr>
                <w:color w:val="000000"/>
                <w:sz w:val="22"/>
                <w:szCs w:val="22"/>
              </w:rPr>
              <w:t>Chow Test (Prob).</w:t>
            </w:r>
          </w:p>
        </w:tc>
        <w:tc>
          <w:tcPr>
            <w:tcW w:w="1842" w:type="dxa"/>
            <w:tcBorders>
              <w:bottom w:val="nil"/>
            </w:tcBorders>
          </w:tcPr>
          <w:p w14:paraId="168E423D" w14:textId="5CB0AD8C" w:rsidR="004E5FC0" w:rsidRPr="004E5FC0" w:rsidRDefault="004E5FC0" w:rsidP="004E5FC0">
            <w:pPr>
              <w:adjustRightInd w:val="0"/>
              <w:ind w:right="464"/>
              <w:jc w:val="right"/>
              <w:rPr>
                <w:color w:val="000000"/>
                <w:sz w:val="22"/>
                <w:szCs w:val="22"/>
              </w:rPr>
            </w:pPr>
            <w:r w:rsidRPr="004E5FC0">
              <w:rPr>
                <w:color w:val="000000"/>
                <w:sz w:val="22"/>
                <w:szCs w:val="22"/>
              </w:rPr>
              <w:t>0.</w:t>
            </w:r>
            <w:r w:rsidR="00667B80">
              <w:rPr>
                <w:color w:val="000000"/>
                <w:sz w:val="22"/>
                <w:szCs w:val="22"/>
              </w:rPr>
              <w:t>00</w:t>
            </w:r>
            <w:r w:rsidRPr="004E5FC0">
              <w:rPr>
                <w:color w:val="000000"/>
                <w:sz w:val="22"/>
                <w:szCs w:val="22"/>
              </w:rPr>
              <w:t>0000</w:t>
            </w:r>
          </w:p>
        </w:tc>
        <w:tc>
          <w:tcPr>
            <w:tcW w:w="1701" w:type="dxa"/>
            <w:tcBorders>
              <w:bottom w:val="nil"/>
            </w:tcBorders>
          </w:tcPr>
          <w:p w14:paraId="2BE59AD1" w14:textId="476E45C6" w:rsidR="004E5FC0" w:rsidRPr="004E5FC0" w:rsidRDefault="004E5FC0" w:rsidP="004E5FC0">
            <w:pPr>
              <w:adjustRightInd w:val="0"/>
              <w:ind w:right="464"/>
              <w:jc w:val="right"/>
              <w:rPr>
                <w:color w:val="000000"/>
                <w:sz w:val="22"/>
                <w:szCs w:val="22"/>
              </w:rPr>
            </w:pPr>
            <w:r w:rsidRPr="004E5FC0">
              <w:rPr>
                <w:color w:val="000000"/>
                <w:sz w:val="22"/>
                <w:szCs w:val="22"/>
              </w:rPr>
              <w:t>0.00</w:t>
            </w:r>
            <w:r w:rsidR="00667B80">
              <w:rPr>
                <w:color w:val="000000"/>
                <w:sz w:val="22"/>
                <w:szCs w:val="22"/>
              </w:rPr>
              <w:t>00</w:t>
            </w:r>
            <w:r w:rsidRPr="004E5FC0">
              <w:rPr>
                <w:color w:val="000000"/>
                <w:sz w:val="22"/>
                <w:szCs w:val="22"/>
              </w:rPr>
              <w:t>00</w:t>
            </w:r>
          </w:p>
        </w:tc>
        <w:tc>
          <w:tcPr>
            <w:tcW w:w="1701" w:type="dxa"/>
            <w:tcBorders>
              <w:bottom w:val="nil"/>
            </w:tcBorders>
          </w:tcPr>
          <w:p w14:paraId="2271166D" w14:textId="43897912" w:rsidR="004E5FC0" w:rsidRPr="004E5FC0" w:rsidRDefault="004E5FC0" w:rsidP="004E5FC0">
            <w:pPr>
              <w:adjustRightInd w:val="0"/>
              <w:ind w:right="464"/>
              <w:jc w:val="right"/>
              <w:rPr>
                <w:color w:val="000000"/>
                <w:sz w:val="22"/>
                <w:szCs w:val="22"/>
              </w:rPr>
            </w:pPr>
            <w:r w:rsidRPr="004E5FC0">
              <w:rPr>
                <w:color w:val="000000"/>
                <w:sz w:val="22"/>
                <w:szCs w:val="22"/>
              </w:rPr>
              <w:t>0.0</w:t>
            </w:r>
            <w:r w:rsidR="00667B80">
              <w:rPr>
                <w:color w:val="000000"/>
                <w:sz w:val="22"/>
                <w:szCs w:val="22"/>
              </w:rPr>
              <w:t>00</w:t>
            </w:r>
            <w:r w:rsidRPr="004E5FC0">
              <w:rPr>
                <w:color w:val="000000"/>
                <w:sz w:val="22"/>
                <w:szCs w:val="22"/>
              </w:rPr>
              <w:t>000</w:t>
            </w:r>
          </w:p>
        </w:tc>
      </w:tr>
      <w:tr w:rsidR="004E5FC0" w:rsidRPr="004E5FC0" w14:paraId="76638D1C" w14:textId="77777777" w:rsidTr="00667B80">
        <w:tc>
          <w:tcPr>
            <w:tcW w:w="3256" w:type="dxa"/>
            <w:tcBorders>
              <w:top w:val="nil"/>
            </w:tcBorders>
          </w:tcPr>
          <w:p w14:paraId="79F0A13F" w14:textId="77777777" w:rsidR="004E5FC0" w:rsidRPr="004E5FC0" w:rsidRDefault="004E5FC0" w:rsidP="004E5FC0">
            <w:pPr>
              <w:adjustRightInd w:val="0"/>
              <w:rPr>
                <w:color w:val="000000"/>
                <w:sz w:val="22"/>
                <w:szCs w:val="22"/>
              </w:rPr>
            </w:pPr>
            <w:r w:rsidRPr="004E5FC0">
              <w:rPr>
                <w:color w:val="000000"/>
                <w:sz w:val="22"/>
                <w:szCs w:val="22"/>
              </w:rPr>
              <w:t>Cross-Section F (Statistic)</w:t>
            </w:r>
          </w:p>
        </w:tc>
        <w:tc>
          <w:tcPr>
            <w:tcW w:w="1842" w:type="dxa"/>
            <w:tcBorders>
              <w:top w:val="nil"/>
            </w:tcBorders>
          </w:tcPr>
          <w:p w14:paraId="1F66E806" w14:textId="77777777" w:rsidR="004E5FC0" w:rsidRPr="004E5FC0" w:rsidRDefault="004E5FC0" w:rsidP="004E5FC0">
            <w:pPr>
              <w:adjustRightInd w:val="0"/>
              <w:ind w:right="464"/>
              <w:jc w:val="right"/>
              <w:rPr>
                <w:color w:val="000000"/>
                <w:sz w:val="22"/>
                <w:szCs w:val="22"/>
              </w:rPr>
            </w:pPr>
            <w:r w:rsidRPr="004E5FC0">
              <w:rPr>
                <w:color w:val="000000"/>
                <w:sz w:val="22"/>
                <w:szCs w:val="22"/>
              </w:rPr>
              <w:t>3.743542</w:t>
            </w:r>
          </w:p>
        </w:tc>
        <w:tc>
          <w:tcPr>
            <w:tcW w:w="1701" w:type="dxa"/>
            <w:tcBorders>
              <w:top w:val="nil"/>
            </w:tcBorders>
          </w:tcPr>
          <w:p w14:paraId="2D53B688" w14:textId="77777777" w:rsidR="004E5FC0" w:rsidRPr="004E5FC0" w:rsidRDefault="004E5FC0" w:rsidP="004E5FC0">
            <w:pPr>
              <w:adjustRightInd w:val="0"/>
              <w:ind w:right="464"/>
              <w:jc w:val="right"/>
              <w:rPr>
                <w:color w:val="000000"/>
                <w:sz w:val="22"/>
                <w:szCs w:val="22"/>
              </w:rPr>
            </w:pPr>
            <w:r w:rsidRPr="004E5FC0">
              <w:rPr>
                <w:color w:val="000000"/>
                <w:sz w:val="22"/>
                <w:szCs w:val="22"/>
              </w:rPr>
              <w:t>3.848648</w:t>
            </w:r>
          </w:p>
        </w:tc>
        <w:tc>
          <w:tcPr>
            <w:tcW w:w="1701" w:type="dxa"/>
            <w:tcBorders>
              <w:top w:val="nil"/>
            </w:tcBorders>
          </w:tcPr>
          <w:p w14:paraId="7F8E4D67" w14:textId="7ACCBC85" w:rsidR="004E5FC0" w:rsidRPr="004E5FC0" w:rsidRDefault="004E5FC0" w:rsidP="004E5FC0">
            <w:pPr>
              <w:adjustRightInd w:val="0"/>
              <w:ind w:right="464"/>
              <w:jc w:val="right"/>
              <w:rPr>
                <w:color w:val="000000"/>
                <w:sz w:val="22"/>
                <w:szCs w:val="22"/>
              </w:rPr>
            </w:pPr>
            <w:r w:rsidRPr="004E5FC0">
              <w:rPr>
                <w:color w:val="000000"/>
                <w:sz w:val="22"/>
                <w:szCs w:val="22"/>
              </w:rPr>
              <w:t>3.786771</w:t>
            </w:r>
          </w:p>
        </w:tc>
      </w:tr>
    </w:tbl>
    <w:p w14:paraId="0B79A7EF" w14:textId="7652D4CC" w:rsidR="00003444" w:rsidRDefault="00003444" w:rsidP="00003444">
      <w:pPr>
        <w:pStyle w:val="ListParagraph"/>
        <w:tabs>
          <w:tab w:val="left" w:pos="720"/>
        </w:tabs>
        <w:spacing w:before="120" w:line="240" w:lineRule="auto"/>
        <w:ind w:left="0" w:firstLine="567"/>
        <w:rPr>
          <w:szCs w:val="24"/>
        </w:rPr>
      </w:pPr>
      <w:r w:rsidRPr="00A634D9">
        <w:rPr>
          <w:szCs w:val="24"/>
        </w:rPr>
        <w:lastRenderedPageBreak/>
        <w:t xml:space="preserve">Hausman test is used to choose the Random Effect Model or Fixed Effect Model. </w:t>
      </w:r>
      <w:r w:rsidRPr="00003444">
        <w:rPr>
          <w:szCs w:val="24"/>
        </w:rPr>
        <w:t xml:space="preserve">If the chi-square probability value is smaller than the significance level of 0.05, the </w:t>
      </w:r>
      <w:r>
        <w:rPr>
          <w:szCs w:val="24"/>
        </w:rPr>
        <w:t xml:space="preserve">Fixed Effect Model </w:t>
      </w:r>
      <w:proofErr w:type="spellStart"/>
      <w:r>
        <w:rPr>
          <w:szCs w:val="24"/>
        </w:rPr>
        <w:t>model</w:t>
      </w:r>
      <w:proofErr w:type="spellEnd"/>
      <w:r>
        <w:rPr>
          <w:szCs w:val="24"/>
        </w:rPr>
        <w:t xml:space="preserve"> is used</w:t>
      </w:r>
      <w:r w:rsidRPr="00003444">
        <w:rPr>
          <w:szCs w:val="24"/>
        </w:rPr>
        <w:t>. Otherwise, the model used is the Random Effect Model</w:t>
      </w:r>
      <w:r>
        <w:rPr>
          <w:szCs w:val="24"/>
        </w:rPr>
        <w:t xml:space="preserve">. </w:t>
      </w:r>
      <w:r w:rsidRPr="00003444">
        <w:t xml:space="preserve">Based on Table </w:t>
      </w:r>
      <w:r>
        <w:t>2</w:t>
      </w:r>
      <w:r w:rsidRPr="00003444">
        <w:t xml:space="preserve">, the </w:t>
      </w:r>
      <w:r w:rsidR="00A61C7A">
        <w:t>best</w:t>
      </w:r>
      <w:r w:rsidRPr="00003444">
        <w:t xml:space="preserve"> method for the three models is the Fixed Effect Model.</w:t>
      </w:r>
    </w:p>
    <w:p w14:paraId="0C511333" w14:textId="6E9F7B51" w:rsidR="00506FCE" w:rsidRPr="008D773F" w:rsidRDefault="00300980" w:rsidP="008D773F">
      <w:pPr>
        <w:spacing w:before="120" w:after="60"/>
        <w:rPr>
          <w:bCs/>
          <w:sz w:val="22"/>
          <w:szCs w:val="22"/>
        </w:rPr>
      </w:pPr>
      <w:r w:rsidRPr="008D773F">
        <w:rPr>
          <w:b/>
          <w:sz w:val="22"/>
          <w:szCs w:val="22"/>
        </w:rPr>
        <w:t>Table</w:t>
      </w:r>
      <w:r w:rsidR="00506FCE" w:rsidRPr="008D773F">
        <w:rPr>
          <w:b/>
          <w:sz w:val="22"/>
          <w:szCs w:val="22"/>
        </w:rPr>
        <w:t xml:space="preserve"> 2</w:t>
      </w:r>
      <w:r w:rsidR="004F6A47" w:rsidRPr="008D773F">
        <w:rPr>
          <w:bCs/>
          <w:sz w:val="22"/>
          <w:szCs w:val="22"/>
        </w:rPr>
        <w:t xml:space="preserve">. </w:t>
      </w:r>
      <w:r w:rsidR="00506FCE" w:rsidRPr="008D773F">
        <w:rPr>
          <w:bCs/>
          <w:sz w:val="22"/>
          <w:szCs w:val="22"/>
        </w:rPr>
        <w:t>Hausman</w:t>
      </w:r>
      <w:r w:rsidRPr="008D773F">
        <w:rPr>
          <w:bCs/>
          <w:sz w:val="22"/>
          <w:szCs w:val="22"/>
        </w:rPr>
        <w:t xml:space="preserve"> </w:t>
      </w:r>
      <w:r w:rsidR="008D773F" w:rsidRPr="008D773F">
        <w:rPr>
          <w:bCs/>
          <w:sz w:val="22"/>
          <w:szCs w:val="22"/>
        </w:rPr>
        <w:t>test results</w:t>
      </w:r>
    </w:p>
    <w:tbl>
      <w:tblPr>
        <w:tblStyle w:val="TableGrid"/>
        <w:tblW w:w="8500" w:type="dxa"/>
        <w:tblBorders>
          <w:left w:val="none" w:sz="0" w:space="0" w:color="auto"/>
          <w:right w:val="none" w:sz="0" w:space="0" w:color="auto"/>
          <w:insideV w:val="none" w:sz="0" w:space="0" w:color="auto"/>
        </w:tblBorders>
        <w:tblLook w:val="04A0" w:firstRow="1" w:lastRow="0" w:firstColumn="1" w:lastColumn="0" w:noHBand="0" w:noVBand="1"/>
      </w:tblPr>
      <w:tblGrid>
        <w:gridCol w:w="3397"/>
        <w:gridCol w:w="1701"/>
        <w:gridCol w:w="1701"/>
        <w:gridCol w:w="1701"/>
      </w:tblGrid>
      <w:tr w:rsidR="007E14CC" w:rsidRPr="007E14CC" w14:paraId="1F3EEF7D" w14:textId="77777777" w:rsidTr="007E14CC">
        <w:tc>
          <w:tcPr>
            <w:tcW w:w="3397" w:type="dxa"/>
            <w:tcBorders>
              <w:bottom w:val="single" w:sz="4" w:space="0" w:color="000000"/>
            </w:tcBorders>
          </w:tcPr>
          <w:p w14:paraId="7C14FC14" w14:textId="77777777" w:rsidR="007E14CC" w:rsidRPr="007E14CC" w:rsidRDefault="007E14CC" w:rsidP="006928A2">
            <w:pPr>
              <w:adjustRightInd w:val="0"/>
              <w:rPr>
                <w:bCs/>
                <w:iCs/>
                <w:color w:val="000000"/>
                <w:sz w:val="22"/>
                <w:szCs w:val="22"/>
              </w:rPr>
            </w:pPr>
            <w:r w:rsidRPr="007E14CC">
              <w:rPr>
                <w:bCs/>
                <w:iCs/>
                <w:color w:val="000000"/>
                <w:sz w:val="22"/>
                <w:szCs w:val="22"/>
              </w:rPr>
              <w:t>Correlated Random Effects</w:t>
            </w:r>
          </w:p>
        </w:tc>
        <w:tc>
          <w:tcPr>
            <w:tcW w:w="1701" w:type="dxa"/>
            <w:tcBorders>
              <w:bottom w:val="single" w:sz="4" w:space="0" w:color="000000"/>
            </w:tcBorders>
          </w:tcPr>
          <w:p w14:paraId="4C177B6F" w14:textId="77777777" w:rsidR="007E14CC" w:rsidRPr="007E14CC" w:rsidRDefault="007E14CC" w:rsidP="006928A2">
            <w:pPr>
              <w:adjustRightInd w:val="0"/>
              <w:rPr>
                <w:bCs/>
                <w:iCs/>
                <w:color w:val="000000"/>
                <w:sz w:val="22"/>
                <w:szCs w:val="22"/>
              </w:rPr>
            </w:pPr>
            <w:r w:rsidRPr="007E14CC">
              <w:rPr>
                <w:bCs/>
                <w:iCs/>
                <w:color w:val="000000"/>
                <w:sz w:val="22"/>
                <w:szCs w:val="22"/>
              </w:rPr>
              <w:t>Model 1(FD1)</w:t>
            </w:r>
          </w:p>
        </w:tc>
        <w:tc>
          <w:tcPr>
            <w:tcW w:w="1701" w:type="dxa"/>
            <w:tcBorders>
              <w:bottom w:val="single" w:sz="4" w:space="0" w:color="000000"/>
            </w:tcBorders>
          </w:tcPr>
          <w:p w14:paraId="3BE72804" w14:textId="7DC06C8B" w:rsidR="007E14CC" w:rsidRPr="007E14CC" w:rsidRDefault="007E14CC" w:rsidP="006928A2">
            <w:pPr>
              <w:adjustRightInd w:val="0"/>
              <w:rPr>
                <w:bCs/>
                <w:iCs/>
                <w:color w:val="000000"/>
                <w:sz w:val="22"/>
                <w:szCs w:val="22"/>
              </w:rPr>
            </w:pPr>
            <w:r w:rsidRPr="007E14CC">
              <w:rPr>
                <w:bCs/>
                <w:iCs/>
                <w:color w:val="000000"/>
                <w:sz w:val="22"/>
                <w:szCs w:val="22"/>
              </w:rPr>
              <w:t xml:space="preserve">Model 2(FD2) </w:t>
            </w:r>
          </w:p>
        </w:tc>
        <w:tc>
          <w:tcPr>
            <w:tcW w:w="1701" w:type="dxa"/>
            <w:tcBorders>
              <w:bottom w:val="single" w:sz="4" w:space="0" w:color="000000"/>
            </w:tcBorders>
          </w:tcPr>
          <w:p w14:paraId="2DF7015D" w14:textId="71F6D7E0" w:rsidR="007E14CC" w:rsidRPr="007E14CC" w:rsidRDefault="007E14CC" w:rsidP="006928A2">
            <w:pPr>
              <w:adjustRightInd w:val="0"/>
              <w:rPr>
                <w:bCs/>
                <w:iCs/>
                <w:color w:val="000000"/>
                <w:sz w:val="22"/>
                <w:szCs w:val="22"/>
              </w:rPr>
            </w:pPr>
            <w:r w:rsidRPr="007E14CC">
              <w:rPr>
                <w:bCs/>
                <w:iCs/>
                <w:color w:val="000000"/>
                <w:sz w:val="22"/>
                <w:szCs w:val="22"/>
              </w:rPr>
              <w:t>Model 3(FD3)-Hausman Test</w:t>
            </w:r>
          </w:p>
        </w:tc>
      </w:tr>
      <w:tr w:rsidR="007E14CC" w:rsidRPr="007E14CC" w14:paraId="5BE0623F" w14:textId="77777777" w:rsidTr="007E14CC">
        <w:tc>
          <w:tcPr>
            <w:tcW w:w="3397" w:type="dxa"/>
            <w:tcBorders>
              <w:bottom w:val="nil"/>
            </w:tcBorders>
          </w:tcPr>
          <w:p w14:paraId="4C765511" w14:textId="77777777" w:rsidR="007E14CC" w:rsidRPr="007E14CC" w:rsidRDefault="007E14CC" w:rsidP="007E14CC">
            <w:pPr>
              <w:rPr>
                <w:bCs/>
                <w:iCs/>
                <w:color w:val="000000"/>
                <w:sz w:val="22"/>
                <w:szCs w:val="22"/>
              </w:rPr>
            </w:pPr>
            <w:r w:rsidRPr="007E14CC">
              <w:rPr>
                <w:bCs/>
                <w:iCs/>
                <w:color w:val="000000"/>
                <w:sz w:val="22"/>
                <w:szCs w:val="22"/>
              </w:rPr>
              <w:t>Uji Hausman (Prob.)</w:t>
            </w:r>
          </w:p>
        </w:tc>
        <w:tc>
          <w:tcPr>
            <w:tcW w:w="1701" w:type="dxa"/>
            <w:tcBorders>
              <w:bottom w:val="nil"/>
            </w:tcBorders>
          </w:tcPr>
          <w:p w14:paraId="72AA5207" w14:textId="1A04FA05" w:rsidR="007E14CC" w:rsidRPr="007E14CC" w:rsidRDefault="007E14CC" w:rsidP="007E14CC">
            <w:pPr>
              <w:ind w:right="322"/>
              <w:jc w:val="right"/>
              <w:rPr>
                <w:bCs/>
                <w:iCs/>
                <w:color w:val="000000"/>
                <w:sz w:val="22"/>
                <w:szCs w:val="22"/>
              </w:rPr>
            </w:pPr>
            <w:r w:rsidRPr="007E14CC">
              <w:rPr>
                <w:bCs/>
                <w:iCs/>
                <w:color w:val="000000"/>
                <w:sz w:val="22"/>
                <w:szCs w:val="22"/>
              </w:rPr>
              <w:t>0.0061</w:t>
            </w:r>
          </w:p>
        </w:tc>
        <w:tc>
          <w:tcPr>
            <w:tcW w:w="1701" w:type="dxa"/>
            <w:tcBorders>
              <w:bottom w:val="nil"/>
            </w:tcBorders>
          </w:tcPr>
          <w:p w14:paraId="0B19C31E" w14:textId="76A1DE0E" w:rsidR="007E14CC" w:rsidRPr="007E14CC" w:rsidRDefault="007E14CC" w:rsidP="007E14CC">
            <w:pPr>
              <w:ind w:right="322"/>
              <w:jc w:val="right"/>
              <w:rPr>
                <w:bCs/>
                <w:iCs/>
                <w:color w:val="000000"/>
                <w:sz w:val="22"/>
                <w:szCs w:val="22"/>
              </w:rPr>
            </w:pPr>
            <w:r w:rsidRPr="007E14CC">
              <w:rPr>
                <w:bCs/>
                <w:iCs/>
                <w:color w:val="000000"/>
                <w:sz w:val="22"/>
                <w:szCs w:val="22"/>
              </w:rPr>
              <w:t>0.0059</w:t>
            </w:r>
          </w:p>
        </w:tc>
        <w:tc>
          <w:tcPr>
            <w:tcW w:w="1701" w:type="dxa"/>
            <w:tcBorders>
              <w:bottom w:val="nil"/>
            </w:tcBorders>
          </w:tcPr>
          <w:p w14:paraId="765F1104" w14:textId="2A1D6C1F" w:rsidR="007E14CC" w:rsidRPr="007E14CC" w:rsidRDefault="007E14CC" w:rsidP="007E14CC">
            <w:pPr>
              <w:ind w:right="322"/>
              <w:jc w:val="right"/>
              <w:rPr>
                <w:bCs/>
                <w:iCs/>
                <w:color w:val="000000"/>
                <w:sz w:val="22"/>
                <w:szCs w:val="22"/>
              </w:rPr>
            </w:pPr>
            <w:r w:rsidRPr="007E14CC">
              <w:rPr>
                <w:bCs/>
                <w:iCs/>
                <w:color w:val="000000"/>
                <w:sz w:val="22"/>
                <w:szCs w:val="22"/>
              </w:rPr>
              <w:t>0.0085</w:t>
            </w:r>
          </w:p>
        </w:tc>
      </w:tr>
      <w:tr w:rsidR="007E14CC" w:rsidRPr="007E14CC" w14:paraId="67355BED" w14:textId="77777777" w:rsidTr="007E14CC">
        <w:tc>
          <w:tcPr>
            <w:tcW w:w="3397" w:type="dxa"/>
            <w:tcBorders>
              <w:top w:val="nil"/>
            </w:tcBorders>
          </w:tcPr>
          <w:p w14:paraId="1927F03D" w14:textId="77777777" w:rsidR="007E14CC" w:rsidRPr="007E14CC" w:rsidRDefault="007E14CC" w:rsidP="007E14CC">
            <w:pPr>
              <w:rPr>
                <w:bCs/>
                <w:iCs/>
                <w:color w:val="000000"/>
                <w:sz w:val="22"/>
                <w:szCs w:val="22"/>
              </w:rPr>
            </w:pPr>
            <w:r w:rsidRPr="007E14CC">
              <w:rPr>
                <w:bCs/>
                <w:iCs/>
                <w:color w:val="000000"/>
                <w:sz w:val="22"/>
                <w:szCs w:val="22"/>
              </w:rPr>
              <w:t>Cross-section random</w:t>
            </w:r>
          </w:p>
          <w:p w14:paraId="4A25EDCB" w14:textId="2C380683" w:rsidR="007E14CC" w:rsidRPr="007E14CC" w:rsidRDefault="007E14CC" w:rsidP="007E14CC">
            <w:pPr>
              <w:rPr>
                <w:bCs/>
                <w:iCs/>
                <w:color w:val="000000"/>
                <w:sz w:val="22"/>
                <w:szCs w:val="22"/>
              </w:rPr>
            </w:pPr>
            <w:r w:rsidRPr="007E14CC">
              <w:rPr>
                <w:bCs/>
                <w:iCs/>
                <w:color w:val="000000"/>
                <w:sz w:val="22"/>
                <w:szCs w:val="22"/>
              </w:rPr>
              <w:t>(Chi-Sq. Statistic)</w:t>
            </w:r>
          </w:p>
        </w:tc>
        <w:tc>
          <w:tcPr>
            <w:tcW w:w="1701" w:type="dxa"/>
            <w:tcBorders>
              <w:top w:val="nil"/>
            </w:tcBorders>
          </w:tcPr>
          <w:p w14:paraId="2C205598" w14:textId="4BF86254" w:rsidR="007E14CC" w:rsidRPr="007E14CC" w:rsidRDefault="007E14CC" w:rsidP="007E14CC">
            <w:pPr>
              <w:ind w:right="322"/>
              <w:jc w:val="right"/>
              <w:rPr>
                <w:bCs/>
                <w:iCs/>
                <w:color w:val="000000"/>
                <w:sz w:val="22"/>
                <w:szCs w:val="22"/>
              </w:rPr>
            </w:pPr>
            <w:r w:rsidRPr="007E14CC">
              <w:rPr>
                <w:bCs/>
                <w:iCs/>
                <w:color w:val="000000"/>
                <w:sz w:val="22"/>
                <w:szCs w:val="22"/>
              </w:rPr>
              <w:t xml:space="preserve">16.278636 </w:t>
            </w:r>
          </w:p>
        </w:tc>
        <w:tc>
          <w:tcPr>
            <w:tcW w:w="1701" w:type="dxa"/>
            <w:tcBorders>
              <w:top w:val="nil"/>
            </w:tcBorders>
          </w:tcPr>
          <w:p w14:paraId="6F8081AE" w14:textId="6B7B7716" w:rsidR="007E14CC" w:rsidRPr="007E14CC" w:rsidRDefault="007E14CC" w:rsidP="007E14CC">
            <w:pPr>
              <w:ind w:right="322"/>
              <w:jc w:val="right"/>
              <w:rPr>
                <w:bCs/>
                <w:iCs/>
                <w:color w:val="000000"/>
                <w:sz w:val="22"/>
                <w:szCs w:val="22"/>
              </w:rPr>
            </w:pPr>
            <w:r w:rsidRPr="007E14CC">
              <w:rPr>
                <w:bCs/>
                <w:iCs/>
                <w:color w:val="000000"/>
                <w:sz w:val="22"/>
                <w:szCs w:val="22"/>
              </w:rPr>
              <w:t>16.354333</w:t>
            </w:r>
          </w:p>
        </w:tc>
        <w:tc>
          <w:tcPr>
            <w:tcW w:w="1701" w:type="dxa"/>
            <w:tcBorders>
              <w:top w:val="nil"/>
            </w:tcBorders>
          </w:tcPr>
          <w:p w14:paraId="2FFBEBC5" w14:textId="2F62E510" w:rsidR="007E14CC" w:rsidRPr="007E14CC" w:rsidRDefault="007E14CC" w:rsidP="007E14CC">
            <w:pPr>
              <w:ind w:right="322"/>
              <w:jc w:val="right"/>
              <w:rPr>
                <w:bCs/>
                <w:iCs/>
                <w:color w:val="000000"/>
                <w:sz w:val="22"/>
                <w:szCs w:val="22"/>
              </w:rPr>
            </w:pPr>
            <w:r w:rsidRPr="007E14CC">
              <w:rPr>
                <w:bCs/>
                <w:iCs/>
                <w:color w:val="000000"/>
                <w:sz w:val="22"/>
                <w:szCs w:val="22"/>
              </w:rPr>
              <w:t>15.465474</w:t>
            </w:r>
          </w:p>
        </w:tc>
      </w:tr>
    </w:tbl>
    <w:p w14:paraId="4582F207" w14:textId="77777777" w:rsidR="00DC40EE" w:rsidRDefault="00DC40EE" w:rsidP="00DA432A">
      <w:pPr>
        <w:jc w:val="both"/>
        <w:rPr>
          <w:rFonts w:eastAsia="Calibri"/>
          <w:b/>
          <w:szCs w:val="22"/>
        </w:rPr>
      </w:pPr>
    </w:p>
    <w:p w14:paraId="10FABA10" w14:textId="37E0D16F" w:rsidR="00DA432A" w:rsidRDefault="00DA432A" w:rsidP="00DA432A">
      <w:pPr>
        <w:jc w:val="both"/>
        <w:rPr>
          <w:rFonts w:eastAsia="Calibri"/>
          <w:b/>
          <w:szCs w:val="22"/>
        </w:rPr>
      </w:pPr>
      <w:r w:rsidRPr="00DA432A">
        <w:rPr>
          <w:rFonts w:eastAsia="Calibri"/>
          <w:b/>
          <w:szCs w:val="22"/>
        </w:rPr>
        <w:t xml:space="preserve">Panel </w:t>
      </w:r>
      <w:r w:rsidR="00DC40EE" w:rsidRPr="00DA432A">
        <w:rPr>
          <w:rFonts w:eastAsia="Calibri"/>
          <w:b/>
          <w:szCs w:val="22"/>
        </w:rPr>
        <w:t xml:space="preserve">data regression estimation </w:t>
      </w:r>
    </w:p>
    <w:p w14:paraId="7DC0B480" w14:textId="2338A4B4" w:rsidR="00506FCE" w:rsidRDefault="00540688" w:rsidP="00DA432A">
      <w:pPr>
        <w:ind w:firstLine="567"/>
        <w:jc w:val="both"/>
      </w:pPr>
      <w:r>
        <w:t>T</w:t>
      </w:r>
      <w:r w:rsidR="00257061" w:rsidRPr="00291CA9">
        <w:t>he FD1 (credit ratio per GRDP) has a negative and significant effect on income inequality</w:t>
      </w:r>
      <w:r>
        <w:t xml:space="preserve"> (Table </w:t>
      </w:r>
      <w:r w:rsidR="00E45DA0">
        <w:t>3</w:t>
      </w:r>
      <w:r>
        <w:t>)</w:t>
      </w:r>
      <w:r w:rsidR="00257061" w:rsidRPr="00291CA9">
        <w:t xml:space="preserve">.  The results of this study are in line with research conducted by Beck &amp; Levine (2004), </w:t>
      </w:r>
      <w:proofErr w:type="spellStart"/>
      <w:r w:rsidR="00257061" w:rsidRPr="00291CA9">
        <w:t>Marsossetiawan</w:t>
      </w:r>
      <w:proofErr w:type="spellEnd"/>
      <w:r w:rsidR="00257061" w:rsidRPr="00291CA9">
        <w:t xml:space="preserve"> &amp; Saleh (2016), and Mohsen &amp; </w:t>
      </w:r>
      <w:proofErr w:type="spellStart"/>
      <w:r w:rsidR="00257061" w:rsidRPr="00291CA9">
        <w:t>Ruixin</w:t>
      </w:r>
      <w:proofErr w:type="spellEnd"/>
      <w:r w:rsidR="00257061" w:rsidRPr="00291CA9">
        <w:t xml:space="preserve"> (2014)</w:t>
      </w:r>
      <w:r w:rsidR="00CF0A95">
        <w:t>,</w:t>
      </w:r>
      <w:r w:rsidR="00257061" w:rsidRPr="00291CA9">
        <w:t xml:space="preserve"> explaining that financial development proxied through private sector credit to GRDP has a negative and significant effect on inco</w:t>
      </w:r>
      <w:r w:rsidR="00257061">
        <w:t>me inequality</w:t>
      </w:r>
      <w:r w:rsidR="00257061" w:rsidRPr="00291CA9">
        <w:t xml:space="preserve">. </w:t>
      </w:r>
      <w:r w:rsidR="00257061">
        <w:t>Besides</w:t>
      </w:r>
      <w:r w:rsidR="00257061" w:rsidRPr="00291CA9">
        <w:t xml:space="preserve">, </w:t>
      </w:r>
      <w:proofErr w:type="spellStart"/>
      <w:r w:rsidR="00257061" w:rsidRPr="00291CA9">
        <w:t>Neaime</w:t>
      </w:r>
      <w:proofErr w:type="spellEnd"/>
      <w:r w:rsidR="00257061" w:rsidRPr="00291CA9">
        <w:t xml:space="preserve"> &amp; </w:t>
      </w:r>
      <w:proofErr w:type="spellStart"/>
      <w:r w:rsidR="00257061" w:rsidRPr="00291CA9">
        <w:t>Gaysset</w:t>
      </w:r>
      <w:proofErr w:type="spellEnd"/>
      <w:r w:rsidR="00257061" w:rsidRPr="00291CA9">
        <w:t xml:space="preserve"> (2018) found that financial inclusion </w:t>
      </w:r>
      <w:r w:rsidR="00257061">
        <w:t>affected</w:t>
      </w:r>
      <w:r w:rsidR="00257061" w:rsidRPr="00291CA9">
        <w:t xml:space="preserve"> reducing income inequality. The development of the financial sector, especially in the banking sector</w:t>
      </w:r>
      <w:r w:rsidR="00257061">
        <w:t>,</w:t>
      </w:r>
      <w:r w:rsidR="00257061" w:rsidRPr="00291CA9">
        <w:t xml:space="preserve"> can increase access and use of banking services by the public. </w:t>
      </w:r>
      <w:r w:rsidR="00257061">
        <w:t>The public expects open access to banking services through lending</w:t>
      </w:r>
      <w:r w:rsidR="00257061" w:rsidRPr="00291CA9">
        <w:t xml:space="preserve"> to use it for productive economic activities. Conversely, if access to financial services becomes increasingly difficult, the poor can only rely on limited savings to invest</w:t>
      </w:r>
      <w:r w:rsidR="00257061">
        <w:t>,</w:t>
      </w:r>
      <w:r w:rsidR="00257061" w:rsidRPr="00291CA9">
        <w:t xml:space="preserve"> and small entrepreneurs must rely on profits to continue their business. As a result, income inequality does not decrease (Allen, 2012).</w:t>
      </w:r>
    </w:p>
    <w:p w14:paraId="0FC1B2D6" w14:textId="31DF8095" w:rsidR="00FD0A27" w:rsidRPr="00FD0A27" w:rsidRDefault="00FD0A27" w:rsidP="00FD0A27">
      <w:pPr>
        <w:ind w:firstLine="567"/>
        <w:jc w:val="both"/>
      </w:pPr>
      <w:r w:rsidRPr="00FD0A27">
        <w:t>The FD2 (asset ratio per GRDP) negatively and significantly affect income inequality. The study res</w:t>
      </w:r>
      <w:r w:rsidR="00317758">
        <w:t xml:space="preserve">ults are in line with Clarke et </w:t>
      </w:r>
      <w:r w:rsidRPr="00FD0A27">
        <w:t>al</w:t>
      </w:r>
      <w:r w:rsidR="00317758">
        <w:t xml:space="preserve">. (2006), </w:t>
      </w:r>
      <w:r w:rsidRPr="00FD0A27">
        <w:t>which analyzes the relationship between finance and income inequality for 83 countries. One measure of financial development variables is banking assets, which statistically negative significant.</w:t>
      </w:r>
    </w:p>
    <w:p w14:paraId="741EDC85" w14:textId="565CAACE" w:rsidR="00E45DA0" w:rsidRDefault="00E45DA0" w:rsidP="00E45DA0">
      <w:pPr>
        <w:ind w:firstLine="567"/>
        <w:jc w:val="both"/>
      </w:pPr>
      <w:r>
        <w:t>T</w:t>
      </w:r>
      <w:r w:rsidRPr="00291CA9">
        <w:t xml:space="preserve">he FD3 (ratio of third party funds per GRDP) has a negative and significant effect on income inequality. </w:t>
      </w:r>
      <w:r>
        <w:t>A</w:t>
      </w:r>
      <w:r w:rsidRPr="00291CA9">
        <w:t xml:space="preserve">ccording to </w:t>
      </w:r>
      <w:proofErr w:type="spellStart"/>
      <w:r w:rsidRPr="00291CA9">
        <w:t>Supartoyo</w:t>
      </w:r>
      <w:proofErr w:type="spellEnd"/>
      <w:r w:rsidRPr="00291CA9">
        <w:t xml:space="preserve"> et al</w:t>
      </w:r>
      <w:r>
        <w:t>.</w:t>
      </w:r>
      <w:r w:rsidRPr="00291CA9">
        <w:t xml:space="preserve"> (2018)</w:t>
      </w:r>
      <w:r>
        <w:t>,</w:t>
      </w:r>
      <w:r w:rsidRPr="00291CA9">
        <w:t xml:space="preserve"> third</w:t>
      </w:r>
      <w:r>
        <w:t>-</w:t>
      </w:r>
      <w:r w:rsidRPr="00291CA9">
        <w:t>party funds as a source of bank funds used for banking activities such as credit can affect the amount of credit distributed to the public. So that more and more third</w:t>
      </w:r>
      <w:r>
        <w:t>-</w:t>
      </w:r>
      <w:r w:rsidRPr="00291CA9">
        <w:t>party funds will increase the amount of credit extended. More and more loans are channeled so that people can also get large loans to reduce income inequality through investment or the development of community-owned businesses obtained from bank credit capital.</w:t>
      </w:r>
    </w:p>
    <w:p w14:paraId="368AE4FA" w14:textId="3D18F492" w:rsidR="00E45DA0" w:rsidRDefault="00E45DA0" w:rsidP="00E45DA0">
      <w:pPr>
        <w:ind w:firstLine="567"/>
        <w:jc w:val="both"/>
      </w:pPr>
      <w:r>
        <w:t>T</w:t>
      </w:r>
      <w:r w:rsidRPr="00291CA9">
        <w:t>he APBD</w:t>
      </w:r>
      <w:r>
        <w:t xml:space="preserve"> (Y)</w:t>
      </w:r>
      <w:r w:rsidRPr="00291CA9">
        <w:t xml:space="preserve"> significantly and positively influence</w:t>
      </w:r>
      <w:r>
        <w:t>d</w:t>
      </w:r>
      <w:r w:rsidRPr="00291CA9">
        <w:t xml:space="preserve"> income inequality in East Java Province in 2013-2017.</w:t>
      </w:r>
      <w:r>
        <w:t xml:space="preserve"> </w:t>
      </w:r>
      <w:r w:rsidR="00264B94">
        <w:t>It</w:t>
      </w:r>
      <w:r w:rsidRPr="00291CA9">
        <w:t xml:space="preserve"> is not </w:t>
      </w:r>
      <w:r>
        <w:t>by</w:t>
      </w:r>
      <w:r w:rsidRPr="00291CA9">
        <w:t xml:space="preserve"> the hypothesis in which the Regional Revenue and Expenditure Budget ha</w:t>
      </w:r>
      <w:r>
        <w:t>ve</w:t>
      </w:r>
      <w:r w:rsidRPr="00291CA9">
        <w:t xml:space="preserve"> a negative and significant effect on income inequality in East Java Province. The results are </w:t>
      </w:r>
      <w:r>
        <w:t>from</w:t>
      </w:r>
      <w:r w:rsidRPr="00291CA9">
        <w:t xml:space="preserve"> research by </w:t>
      </w:r>
      <w:proofErr w:type="spellStart"/>
      <w:r w:rsidRPr="00291CA9">
        <w:t>Wardhana</w:t>
      </w:r>
      <w:proofErr w:type="spellEnd"/>
      <w:r w:rsidRPr="00291CA9">
        <w:t xml:space="preserve"> (2013) and </w:t>
      </w:r>
      <w:proofErr w:type="spellStart"/>
      <w:r w:rsidRPr="00291CA9">
        <w:t>Qibthiyyah</w:t>
      </w:r>
      <w:proofErr w:type="spellEnd"/>
      <w:r w:rsidRPr="00291CA9">
        <w:t xml:space="preserve"> (2017). </w:t>
      </w:r>
      <w:proofErr w:type="spellStart"/>
      <w:r w:rsidRPr="00291CA9">
        <w:t>Wardhana</w:t>
      </w:r>
      <w:proofErr w:type="spellEnd"/>
      <w:r w:rsidRPr="00291CA9">
        <w:t xml:space="preserve"> (2013) states that the increasing income inequality is caused by differences in potential, resources, inadequate infrastructure facilities, and high dependency burden. </w:t>
      </w:r>
      <w:r>
        <w:t>Besides</w:t>
      </w:r>
      <w:r w:rsidRPr="00291CA9">
        <w:t xml:space="preserve">, there is a tendency for differences in the potential sources of revenue in each province, one of which is that regional income can </w:t>
      </w:r>
      <w:r>
        <w:t>increase</w:t>
      </w:r>
      <w:r w:rsidRPr="00291CA9">
        <w:t xml:space="preserve"> income inequality. Meanwhile, </w:t>
      </w:r>
      <w:proofErr w:type="spellStart"/>
      <w:r w:rsidRPr="00291CA9">
        <w:t>Qibthiyyah</w:t>
      </w:r>
      <w:proofErr w:type="spellEnd"/>
      <w:r w:rsidRPr="00291CA9">
        <w:t xml:space="preserve"> (2017) regional income has a positive effect on economic inequality. It seems that provinces with high</w:t>
      </w:r>
      <w:r>
        <w:t>-</w:t>
      </w:r>
      <w:r w:rsidRPr="00291CA9">
        <w:t>income sources have high inequality.</w:t>
      </w:r>
    </w:p>
    <w:p w14:paraId="016B60AE" w14:textId="0F68AC4F" w:rsidR="009C6CCD" w:rsidRDefault="009C6CCD" w:rsidP="00E45DA0">
      <w:pPr>
        <w:ind w:firstLine="567"/>
        <w:jc w:val="both"/>
      </w:pPr>
    </w:p>
    <w:p w14:paraId="3DA715E9" w14:textId="77777777" w:rsidR="009C6CCD" w:rsidRDefault="009C6CCD" w:rsidP="00E45DA0">
      <w:pPr>
        <w:ind w:firstLine="567"/>
        <w:jc w:val="both"/>
      </w:pPr>
    </w:p>
    <w:p w14:paraId="0C6DCCDC" w14:textId="0AB68749" w:rsidR="00506FCE" w:rsidRPr="00E2401A" w:rsidRDefault="00730374" w:rsidP="00E2401A">
      <w:pPr>
        <w:tabs>
          <w:tab w:val="left" w:pos="426"/>
        </w:tabs>
        <w:spacing w:before="120" w:after="60"/>
        <w:rPr>
          <w:b/>
          <w:sz w:val="22"/>
          <w:szCs w:val="22"/>
        </w:rPr>
      </w:pPr>
      <w:r w:rsidRPr="00E2401A">
        <w:rPr>
          <w:b/>
          <w:sz w:val="22"/>
          <w:szCs w:val="22"/>
        </w:rPr>
        <w:lastRenderedPageBreak/>
        <w:t>Tab</w:t>
      </w:r>
      <w:r w:rsidR="00B761B9" w:rsidRPr="00E2401A">
        <w:rPr>
          <w:b/>
          <w:sz w:val="22"/>
          <w:szCs w:val="22"/>
        </w:rPr>
        <w:t>l</w:t>
      </w:r>
      <w:r w:rsidRPr="00E2401A">
        <w:rPr>
          <w:b/>
          <w:sz w:val="22"/>
          <w:szCs w:val="22"/>
        </w:rPr>
        <w:t>e</w:t>
      </w:r>
      <w:r w:rsidR="001D6B45" w:rsidRPr="00E2401A">
        <w:rPr>
          <w:b/>
          <w:sz w:val="22"/>
          <w:szCs w:val="22"/>
        </w:rPr>
        <w:t xml:space="preserve"> </w:t>
      </w:r>
      <w:r w:rsidR="004A49D2">
        <w:rPr>
          <w:b/>
          <w:sz w:val="22"/>
          <w:szCs w:val="22"/>
        </w:rPr>
        <w:t>3</w:t>
      </w:r>
      <w:r w:rsidR="00492778" w:rsidRPr="00E2401A">
        <w:rPr>
          <w:b/>
          <w:sz w:val="22"/>
          <w:szCs w:val="22"/>
        </w:rPr>
        <w:t xml:space="preserve">. </w:t>
      </w:r>
      <w:r w:rsidRPr="00E2401A">
        <w:rPr>
          <w:bCs/>
          <w:sz w:val="22"/>
          <w:szCs w:val="22"/>
        </w:rPr>
        <w:t xml:space="preserve">Panel </w:t>
      </w:r>
      <w:r w:rsidR="00E2401A" w:rsidRPr="00E2401A">
        <w:rPr>
          <w:bCs/>
          <w:sz w:val="22"/>
          <w:szCs w:val="22"/>
        </w:rPr>
        <w:t>data regression results</w:t>
      </w:r>
    </w:p>
    <w:p w14:paraId="6B58D063" w14:textId="77777777" w:rsidR="00506FCE" w:rsidRPr="00E2401A" w:rsidRDefault="00AC48D5" w:rsidP="00506FCE">
      <w:pPr>
        <w:pBdr>
          <w:top w:val="single" w:sz="12" w:space="1" w:color="auto"/>
          <w:bottom w:val="single" w:sz="12" w:space="1" w:color="auto"/>
        </w:pBdr>
        <w:tabs>
          <w:tab w:val="left" w:pos="426"/>
        </w:tabs>
        <w:jc w:val="center"/>
        <w:rPr>
          <w:bCs/>
          <w:sz w:val="22"/>
          <w:szCs w:val="22"/>
        </w:rPr>
      </w:pPr>
      <w:r w:rsidRPr="00E2401A">
        <w:rPr>
          <w:bCs/>
          <w:sz w:val="22"/>
          <w:szCs w:val="22"/>
        </w:rPr>
        <w:t xml:space="preserve">Model 1 (FD1) </w:t>
      </w:r>
      <w:r w:rsidR="00730374" w:rsidRPr="00E2401A">
        <w:rPr>
          <w:bCs/>
          <w:sz w:val="22"/>
          <w:szCs w:val="22"/>
        </w:rPr>
        <w:t>Credit Ratio</w:t>
      </w:r>
      <w:r w:rsidR="00506FCE" w:rsidRPr="00E2401A">
        <w:rPr>
          <w:bCs/>
          <w:sz w:val="22"/>
          <w:szCs w:val="22"/>
        </w:rPr>
        <w:t>/</w:t>
      </w:r>
      <w:r w:rsidR="00D038D8" w:rsidRPr="00E2401A">
        <w:rPr>
          <w:bCs/>
          <w:sz w:val="22"/>
          <w:szCs w:val="22"/>
        </w:rPr>
        <w:t>GDRP</w:t>
      </w:r>
    </w:p>
    <w:p w14:paraId="493F5635" w14:textId="77777777" w:rsidR="00506FCE" w:rsidRPr="00E2401A" w:rsidRDefault="00506FCE" w:rsidP="00506FCE">
      <w:pPr>
        <w:pBdr>
          <w:bottom w:val="single" w:sz="12" w:space="1" w:color="auto"/>
          <w:between w:val="single" w:sz="12" w:space="1" w:color="auto"/>
        </w:pBdr>
        <w:tabs>
          <w:tab w:val="left" w:pos="426"/>
        </w:tabs>
        <w:jc w:val="both"/>
        <w:rPr>
          <w:bCs/>
          <w:sz w:val="22"/>
          <w:szCs w:val="22"/>
        </w:rPr>
      </w:pPr>
      <w:proofErr w:type="spellStart"/>
      <w:r w:rsidRPr="00E2401A">
        <w:rPr>
          <w:bCs/>
          <w:sz w:val="22"/>
          <w:szCs w:val="22"/>
        </w:rPr>
        <w:t>Variabel</w:t>
      </w:r>
      <w:proofErr w:type="spellEnd"/>
      <w:r w:rsidRPr="00E2401A">
        <w:rPr>
          <w:bCs/>
          <w:sz w:val="22"/>
          <w:szCs w:val="22"/>
        </w:rPr>
        <w:tab/>
      </w:r>
      <w:r w:rsidRPr="00E2401A">
        <w:rPr>
          <w:bCs/>
          <w:color w:val="000000"/>
          <w:sz w:val="22"/>
          <w:szCs w:val="22"/>
        </w:rPr>
        <w:t>Coefficient</w:t>
      </w:r>
      <w:r w:rsidRPr="00E2401A">
        <w:rPr>
          <w:bCs/>
          <w:color w:val="000000"/>
          <w:sz w:val="22"/>
          <w:szCs w:val="22"/>
        </w:rPr>
        <w:tab/>
      </w:r>
      <w:r w:rsidRPr="00E2401A">
        <w:rPr>
          <w:bCs/>
          <w:color w:val="000000"/>
          <w:sz w:val="22"/>
          <w:szCs w:val="22"/>
        </w:rPr>
        <w:tab/>
        <w:t>Std. Error</w:t>
      </w:r>
      <w:r w:rsidRPr="00E2401A">
        <w:rPr>
          <w:bCs/>
          <w:color w:val="000000"/>
          <w:sz w:val="22"/>
          <w:szCs w:val="22"/>
        </w:rPr>
        <w:tab/>
        <w:t>t-Statistic</w:t>
      </w:r>
      <w:r w:rsidRPr="00E2401A">
        <w:rPr>
          <w:bCs/>
          <w:color w:val="000000"/>
          <w:sz w:val="22"/>
          <w:szCs w:val="22"/>
        </w:rPr>
        <w:tab/>
      </w:r>
      <w:r w:rsidR="00730374" w:rsidRPr="00E2401A">
        <w:rPr>
          <w:bCs/>
          <w:color w:val="000000"/>
          <w:sz w:val="22"/>
          <w:szCs w:val="22"/>
        </w:rPr>
        <w:tab/>
      </w:r>
      <w:r w:rsidRPr="00E2401A">
        <w:rPr>
          <w:bCs/>
          <w:color w:val="000000"/>
          <w:sz w:val="22"/>
          <w:szCs w:val="22"/>
        </w:rPr>
        <w:t>Prob.</w:t>
      </w:r>
    </w:p>
    <w:p w14:paraId="1DDB0CFE" w14:textId="77777777" w:rsidR="00506FCE" w:rsidRPr="00E2401A" w:rsidRDefault="00506FCE" w:rsidP="00506FCE">
      <w:pPr>
        <w:tabs>
          <w:tab w:val="left" w:pos="426"/>
        </w:tabs>
        <w:jc w:val="both"/>
        <w:rPr>
          <w:sz w:val="22"/>
          <w:szCs w:val="22"/>
        </w:rPr>
      </w:pPr>
      <w:r w:rsidRPr="00E2401A">
        <w:rPr>
          <w:sz w:val="22"/>
          <w:szCs w:val="22"/>
        </w:rPr>
        <w:t xml:space="preserve">C </w:t>
      </w:r>
      <w:r w:rsidRPr="00E2401A">
        <w:rPr>
          <w:sz w:val="22"/>
          <w:szCs w:val="22"/>
        </w:rPr>
        <w:tab/>
      </w:r>
      <w:r w:rsidRPr="00E2401A">
        <w:rPr>
          <w:sz w:val="22"/>
          <w:szCs w:val="22"/>
        </w:rPr>
        <w:tab/>
      </w:r>
      <w:r w:rsidRPr="00E2401A">
        <w:rPr>
          <w:sz w:val="22"/>
          <w:szCs w:val="22"/>
        </w:rPr>
        <w:tab/>
        <w:t>0.199803</w:t>
      </w:r>
      <w:r w:rsidRPr="00E2401A">
        <w:rPr>
          <w:sz w:val="22"/>
          <w:szCs w:val="22"/>
        </w:rPr>
        <w:tab/>
      </w:r>
      <w:r w:rsidRPr="00E2401A">
        <w:rPr>
          <w:sz w:val="22"/>
          <w:szCs w:val="22"/>
        </w:rPr>
        <w:tab/>
        <w:t>0.034575</w:t>
      </w:r>
      <w:r w:rsidRPr="00E2401A">
        <w:rPr>
          <w:sz w:val="22"/>
          <w:szCs w:val="22"/>
        </w:rPr>
        <w:tab/>
        <w:t>5.778895</w:t>
      </w:r>
      <w:r w:rsidR="00B46C9B" w:rsidRPr="00E2401A">
        <w:rPr>
          <w:sz w:val="22"/>
          <w:szCs w:val="22"/>
        </w:rPr>
        <w:tab/>
      </w:r>
      <w:r w:rsidR="00B46C9B" w:rsidRPr="00E2401A">
        <w:rPr>
          <w:sz w:val="22"/>
          <w:szCs w:val="22"/>
        </w:rPr>
        <w:tab/>
      </w:r>
      <w:r w:rsidRPr="00E2401A">
        <w:rPr>
          <w:sz w:val="22"/>
          <w:szCs w:val="22"/>
        </w:rPr>
        <w:t>0.0000</w:t>
      </w:r>
    </w:p>
    <w:p w14:paraId="778E28AA" w14:textId="77777777" w:rsidR="00506FCE" w:rsidRPr="00E2401A" w:rsidRDefault="00506FCE" w:rsidP="00506FCE">
      <w:pPr>
        <w:tabs>
          <w:tab w:val="left" w:pos="426"/>
        </w:tabs>
        <w:jc w:val="both"/>
        <w:rPr>
          <w:sz w:val="22"/>
          <w:szCs w:val="22"/>
        </w:rPr>
      </w:pPr>
      <w:r w:rsidRPr="00E2401A">
        <w:rPr>
          <w:sz w:val="22"/>
          <w:szCs w:val="22"/>
        </w:rPr>
        <w:t>FD1</w:t>
      </w:r>
      <w:r w:rsidRPr="00E2401A">
        <w:rPr>
          <w:sz w:val="22"/>
          <w:szCs w:val="22"/>
        </w:rPr>
        <w:tab/>
      </w:r>
      <w:r w:rsidRPr="00E2401A">
        <w:rPr>
          <w:sz w:val="22"/>
          <w:szCs w:val="22"/>
        </w:rPr>
        <w:tab/>
      </w:r>
      <w:r w:rsidR="00B46C9B" w:rsidRPr="00E2401A">
        <w:rPr>
          <w:sz w:val="22"/>
          <w:szCs w:val="22"/>
        </w:rPr>
        <w:tab/>
      </w:r>
      <w:r w:rsidRPr="00E2401A">
        <w:rPr>
          <w:sz w:val="22"/>
          <w:szCs w:val="22"/>
        </w:rPr>
        <w:t>-0.032977</w:t>
      </w:r>
      <w:r w:rsidRPr="00E2401A">
        <w:rPr>
          <w:sz w:val="22"/>
          <w:szCs w:val="22"/>
        </w:rPr>
        <w:tab/>
      </w:r>
      <w:r w:rsidRPr="00E2401A">
        <w:rPr>
          <w:sz w:val="22"/>
          <w:szCs w:val="22"/>
        </w:rPr>
        <w:tab/>
        <w:t>0.016465</w:t>
      </w:r>
      <w:r w:rsidRPr="00E2401A">
        <w:rPr>
          <w:sz w:val="22"/>
          <w:szCs w:val="22"/>
        </w:rPr>
        <w:tab/>
        <w:t xml:space="preserve">-2.002871 </w:t>
      </w:r>
      <w:r w:rsidRPr="00E2401A">
        <w:rPr>
          <w:sz w:val="22"/>
          <w:szCs w:val="22"/>
        </w:rPr>
        <w:tab/>
      </w:r>
      <w:r w:rsidRPr="00E2401A">
        <w:rPr>
          <w:sz w:val="22"/>
          <w:szCs w:val="22"/>
        </w:rPr>
        <w:tab/>
        <w:t>0.0470*</w:t>
      </w:r>
    </w:p>
    <w:p w14:paraId="23BAEB09" w14:textId="77777777" w:rsidR="00506FCE" w:rsidRPr="00E2401A" w:rsidRDefault="00506FCE" w:rsidP="00506FCE">
      <w:pPr>
        <w:tabs>
          <w:tab w:val="left" w:pos="426"/>
        </w:tabs>
        <w:jc w:val="both"/>
        <w:rPr>
          <w:sz w:val="22"/>
          <w:szCs w:val="22"/>
        </w:rPr>
      </w:pPr>
      <w:r w:rsidRPr="00E2401A">
        <w:rPr>
          <w:sz w:val="22"/>
          <w:szCs w:val="22"/>
        </w:rPr>
        <w:t xml:space="preserve">Y </w:t>
      </w:r>
      <w:r w:rsidRPr="00E2401A">
        <w:rPr>
          <w:sz w:val="22"/>
          <w:szCs w:val="22"/>
        </w:rPr>
        <w:tab/>
      </w:r>
      <w:r w:rsidRPr="00E2401A">
        <w:rPr>
          <w:sz w:val="22"/>
          <w:szCs w:val="22"/>
        </w:rPr>
        <w:tab/>
      </w:r>
      <w:r w:rsidRPr="00E2401A">
        <w:rPr>
          <w:sz w:val="22"/>
          <w:szCs w:val="22"/>
        </w:rPr>
        <w:tab/>
        <w:t>1.19E-14</w:t>
      </w:r>
      <w:r w:rsidRPr="00E2401A">
        <w:rPr>
          <w:sz w:val="22"/>
          <w:szCs w:val="22"/>
        </w:rPr>
        <w:tab/>
      </w:r>
      <w:r w:rsidRPr="00E2401A">
        <w:rPr>
          <w:sz w:val="22"/>
          <w:szCs w:val="22"/>
        </w:rPr>
        <w:tab/>
        <w:t>1.56E-15</w:t>
      </w:r>
      <w:r w:rsidRPr="00E2401A">
        <w:rPr>
          <w:sz w:val="22"/>
          <w:szCs w:val="22"/>
        </w:rPr>
        <w:tab/>
        <w:t>7.604509</w:t>
      </w:r>
      <w:r w:rsidRPr="00E2401A">
        <w:rPr>
          <w:sz w:val="22"/>
          <w:szCs w:val="22"/>
        </w:rPr>
        <w:tab/>
      </w:r>
      <w:r w:rsidRPr="00E2401A">
        <w:rPr>
          <w:sz w:val="22"/>
          <w:szCs w:val="22"/>
        </w:rPr>
        <w:tab/>
        <w:t>0.0000*</w:t>
      </w:r>
    </w:p>
    <w:p w14:paraId="54D773B0" w14:textId="77777777" w:rsidR="00506FCE" w:rsidRPr="00E2401A" w:rsidRDefault="00506FCE" w:rsidP="00506FCE">
      <w:pPr>
        <w:tabs>
          <w:tab w:val="left" w:pos="426"/>
        </w:tabs>
        <w:jc w:val="both"/>
        <w:rPr>
          <w:sz w:val="22"/>
          <w:szCs w:val="22"/>
        </w:rPr>
      </w:pPr>
      <w:r w:rsidRPr="00E2401A">
        <w:rPr>
          <w:sz w:val="22"/>
          <w:szCs w:val="22"/>
        </w:rPr>
        <w:t xml:space="preserve">KP </w:t>
      </w:r>
      <w:r w:rsidRPr="00E2401A">
        <w:rPr>
          <w:sz w:val="22"/>
          <w:szCs w:val="22"/>
        </w:rPr>
        <w:tab/>
      </w:r>
      <w:r w:rsidRPr="00E2401A">
        <w:rPr>
          <w:sz w:val="22"/>
          <w:szCs w:val="22"/>
        </w:rPr>
        <w:tab/>
      </w:r>
      <w:r w:rsidRPr="00E2401A">
        <w:rPr>
          <w:sz w:val="22"/>
          <w:szCs w:val="22"/>
        </w:rPr>
        <w:tab/>
        <w:t>3.61E-05</w:t>
      </w:r>
      <w:r w:rsidRPr="00E2401A">
        <w:rPr>
          <w:sz w:val="22"/>
          <w:szCs w:val="22"/>
        </w:rPr>
        <w:tab/>
      </w:r>
      <w:r w:rsidRPr="00E2401A">
        <w:rPr>
          <w:sz w:val="22"/>
          <w:szCs w:val="22"/>
        </w:rPr>
        <w:tab/>
        <w:t>9.74E-06</w:t>
      </w:r>
      <w:r w:rsidRPr="00E2401A">
        <w:rPr>
          <w:sz w:val="22"/>
          <w:szCs w:val="22"/>
        </w:rPr>
        <w:tab/>
        <w:t>3.705200</w:t>
      </w:r>
      <w:r w:rsidRPr="00E2401A">
        <w:rPr>
          <w:sz w:val="22"/>
          <w:szCs w:val="22"/>
        </w:rPr>
        <w:tab/>
      </w:r>
      <w:r w:rsidRPr="00E2401A">
        <w:rPr>
          <w:sz w:val="22"/>
          <w:szCs w:val="22"/>
        </w:rPr>
        <w:tab/>
        <w:t>0.0003*</w:t>
      </w:r>
    </w:p>
    <w:p w14:paraId="687E0259" w14:textId="77777777" w:rsidR="00506FCE" w:rsidRPr="00E2401A" w:rsidRDefault="00506FCE" w:rsidP="00506FCE">
      <w:pPr>
        <w:tabs>
          <w:tab w:val="left" w:pos="426"/>
        </w:tabs>
        <w:jc w:val="both"/>
        <w:rPr>
          <w:color w:val="000000"/>
          <w:sz w:val="22"/>
          <w:szCs w:val="22"/>
        </w:rPr>
      </w:pPr>
      <w:r w:rsidRPr="00E2401A">
        <w:rPr>
          <w:sz w:val="22"/>
          <w:szCs w:val="22"/>
        </w:rPr>
        <w:t xml:space="preserve">PM </w:t>
      </w:r>
      <w:r w:rsidRPr="00E2401A">
        <w:rPr>
          <w:sz w:val="22"/>
          <w:szCs w:val="22"/>
        </w:rPr>
        <w:tab/>
      </w:r>
      <w:r w:rsidRPr="00E2401A">
        <w:rPr>
          <w:sz w:val="22"/>
          <w:szCs w:val="22"/>
        </w:rPr>
        <w:tab/>
      </w:r>
      <w:r w:rsidRPr="00E2401A">
        <w:rPr>
          <w:sz w:val="22"/>
          <w:szCs w:val="22"/>
        </w:rPr>
        <w:tab/>
      </w:r>
      <w:r w:rsidRPr="00E2401A">
        <w:rPr>
          <w:color w:val="000000"/>
          <w:sz w:val="22"/>
          <w:szCs w:val="22"/>
        </w:rPr>
        <w:t>0.000404</w:t>
      </w:r>
      <w:r w:rsidRPr="00E2401A">
        <w:rPr>
          <w:color w:val="000000"/>
          <w:sz w:val="22"/>
          <w:szCs w:val="22"/>
        </w:rPr>
        <w:tab/>
      </w:r>
      <w:r w:rsidRPr="00E2401A">
        <w:rPr>
          <w:color w:val="000000"/>
          <w:sz w:val="22"/>
          <w:szCs w:val="22"/>
        </w:rPr>
        <w:tab/>
        <w:t>0.000233</w:t>
      </w:r>
      <w:r w:rsidRPr="00E2401A">
        <w:rPr>
          <w:color w:val="000000"/>
          <w:sz w:val="22"/>
          <w:szCs w:val="22"/>
        </w:rPr>
        <w:tab/>
        <w:t>1.735935</w:t>
      </w:r>
      <w:r w:rsidRPr="00E2401A">
        <w:rPr>
          <w:color w:val="000000"/>
          <w:sz w:val="22"/>
          <w:szCs w:val="22"/>
        </w:rPr>
        <w:tab/>
      </w:r>
      <w:r w:rsidRPr="00E2401A">
        <w:rPr>
          <w:color w:val="000000"/>
          <w:sz w:val="22"/>
          <w:szCs w:val="22"/>
        </w:rPr>
        <w:tab/>
        <w:t>0.0847**</w:t>
      </w:r>
    </w:p>
    <w:p w14:paraId="452D0140" w14:textId="77777777" w:rsidR="00506FCE" w:rsidRPr="00E2401A" w:rsidRDefault="00506FCE" w:rsidP="00506FCE">
      <w:pPr>
        <w:tabs>
          <w:tab w:val="left" w:pos="426"/>
        </w:tabs>
        <w:jc w:val="both"/>
        <w:rPr>
          <w:color w:val="000000"/>
          <w:sz w:val="22"/>
          <w:szCs w:val="22"/>
        </w:rPr>
      </w:pPr>
      <w:r w:rsidRPr="00E2401A">
        <w:rPr>
          <w:color w:val="000000"/>
          <w:sz w:val="22"/>
          <w:szCs w:val="22"/>
        </w:rPr>
        <w:t xml:space="preserve">TPT </w:t>
      </w:r>
      <w:r w:rsidRPr="00E2401A">
        <w:rPr>
          <w:color w:val="000000"/>
          <w:sz w:val="22"/>
          <w:szCs w:val="22"/>
        </w:rPr>
        <w:tab/>
      </w:r>
      <w:r w:rsidRPr="00E2401A">
        <w:rPr>
          <w:color w:val="000000"/>
          <w:sz w:val="22"/>
          <w:szCs w:val="22"/>
        </w:rPr>
        <w:tab/>
        <w:t>0.001862</w:t>
      </w:r>
      <w:r w:rsidRPr="00E2401A">
        <w:rPr>
          <w:color w:val="000000"/>
          <w:sz w:val="22"/>
          <w:szCs w:val="22"/>
        </w:rPr>
        <w:tab/>
      </w:r>
      <w:r w:rsidRPr="00E2401A">
        <w:rPr>
          <w:color w:val="000000"/>
          <w:sz w:val="22"/>
          <w:szCs w:val="22"/>
        </w:rPr>
        <w:tab/>
        <w:t>0.002215</w:t>
      </w:r>
      <w:r w:rsidRPr="00E2401A">
        <w:rPr>
          <w:color w:val="000000"/>
          <w:sz w:val="22"/>
          <w:szCs w:val="22"/>
        </w:rPr>
        <w:tab/>
        <w:t>0.840563</w:t>
      </w:r>
      <w:r w:rsidRPr="00E2401A">
        <w:rPr>
          <w:color w:val="000000"/>
          <w:sz w:val="22"/>
          <w:szCs w:val="22"/>
        </w:rPr>
        <w:tab/>
      </w:r>
      <w:r w:rsidRPr="00E2401A">
        <w:rPr>
          <w:color w:val="000000"/>
          <w:sz w:val="22"/>
          <w:szCs w:val="22"/>
        </w:rPr>
        <w:tab/>
        <w:t>0.4020</w:t>
      </w:r>
    </w:p>
    <w:p w14:paraId="6A95C3D2" w14:textId="77777777" w:rsidR="00506FCE" w:rsidRPr="00E2401A" w:rsidRDefault="00AC48D5" w:rsidP="00506FCE">
      <w:pPr>
        <w:pBdr>
          <w:top w:val="single" w:sz="12" w:space="1" w:color="auto"/>
          <w:bottom w:val="single" w:sz="12" w:space="1" w:color="auto"/>
        </w:pBdr>
        <w:tabs>
          <w:tab w:val="left" w:pos="426"/>
        </w:tabs>
        <w:jc w:val="center"/>
        <w:rPr>
          <w:bCs/>
          <w:sz w:val="22"/>
          <w:szCs w:val="22"/>
        </w:rPr>
      </w:pPr>
      <w:r w:rsidRPr="00E2401A">
        <w:rPr>
          <w:bCs/>
          <w:sz w:val="22"/>
          <w:szCs w:val="22"/>
        </w:rPr>
        <w:t xml:space="preserve">Model 2 (FD2) </w:t>
      </w:r>
      <w:r w:rsidR="00730374" w:rsidRPr="00E2401A">
        <w:rPr>
          <w:bCs/>
          <w:sz w:val="22"/>
          <w:szCs w:val="22"/>
        </w:rPr>
        <w:t>Asset Ratio/GDRP</w:t>
      </w:r>
    </w:p>
    <w:p w14:paraId="0E864BC0" w14:textId="77777777" w:rsidR="00506FCE" w:rsidRPr="00E2401A" w:rsidRDefault="00506FCE" w:rsidP="00506FCE">
      <w:pPr>
        <w:tabs>
          <w:tab w:val="left" w:pos="426"/>
        </w:tabs>
        <w:jc w:val="both"/>
        <w:rPr>
          <w:sz w:val="22"/>
          <w:szCs w:val="22"/>
        </w:rPr>
      </w:pPr>
      <w:r w:rsidRPr="00E2401A">
        <w:rPr>
          <w:sz w:val="22"/>
          <w:szCs w:val="22"/>
        </w:rPr>
        <w:t xml:space="preserve">C </w:t>
      </w:r>
      <w:r w:rsidRPr="00E2401A">
        <w:rPr>
          <w:sz w:val="22"/>
          <w:szCs w:val="22"/>
        </w:rPr>
        <w:tab/>
      </w:r>
      <w:r w:rsidRPr="00E2401A">
        <w:rPr>
          <w:sz w:val="22"/>
          <w:szCs w:val="22"/>
        </w:rPr>
        <w:tab/>
      </w:r>
      <w:r w:rsidRPr="00E2401A">
        <w:rPr>
          <w:sz w:val="22"/>
          <w:szCs w:val="22"/>
        </w:rPr>
        <w:tab/>
      </w:r>
      <w:r w:rsidRPr="00E2401A">
        <w:rPr>
          <w:color w:val="000000"/>
          <w:sz w:val="22"/>
          <w:szCs w:val="22"/>
        </w:rPr>
        <w:t>0.197677</w:t>
      </w:r>
      <w:r w:rsidRPr="00E2401A">
        <w:rPr>
          <w:sz w:val="22"/>
          <w:szCs w:val="22"/>
        </w:rPr>
        <w:tab/>
      </w:r>
      <w:r w:rsidRPr="00E2401A">
        <w:rPr>
          <w:sz w:val="22"/>
          <w:szCs w:val="22"/>
        </w:rPr>
        <w:tab/>
      </w:r>
      <w:r w:rsidRPr="00E2401A">
        <w:rPr>
          <w:color w:val="000000"/>
          <w:sz w:val="22"/>
          <w:szCs w:val="22"/>
        </w:rPr>
        <w:t>0.034581</w:t>
      </w:r>
      <w:r w:rsidRPr="00E2401A">
        <w:rPr>
          <w:sz w:val="22"/>
          <w:szCs w:val="22"/>
        </w:rPr>
        <w:tab/>
      </w:r>
      <w:r w:rsidRPr="00E2401A">
        <w:rPr>
          <w:color w:val="000000"/>
          <w:sz w:val="22"/>
          <w:szCs w:val="22"/>
        </w:rPr>
        <w:t>5.716293</w:t>
      </w:r>
      <w:r w:rsidR="00B46C9B" w:rsidRPr="00E2401A">
        <w:rPr>
          <w:color w:val="000000"/>
          <w:sz w:val="22"/>
          <w:szCs w:val="22"/>
        </w:rPr>
        <w:tab/>
      </w:r>
      <w:r w:rsidR="00B46C9B" w:rsidRPr="00E2401A">
        <w:rPr>
          <w:color w:val="000000"/>
          <w:sz w:val="22"/>
          <w:szCs w:val="22"/>
        </w:rPr>
        <w:tab/>
      </w:r>
      <w:r w:rsidRPr="00E2401A">
        <w:rPr>
          <w:sz w:val="22"/>
          <w:szCs w:val="22"/>
        </w:rPr>
        <w:t>0.0000</w:t>
      </w:r>
    </w:p>
    <w:p w14:paraId="5114ACE9" w14:textId="77777777" w:rsidR="00506FCE" w:rsidRPr="00E2401A" w:rsidRDefault="00506FCE" w:rsidP="00506FCE">
      <w:pPr>
        <w:tabs>
          <w:tab w:val="left" w:pos="426"/>
        </w:tabs>
        <w:jc w:val="both"/>
        <w:rPr>
          <w:sz w:val="22"/>
          <w:szCs w:val="22"/>
        </w:rPr>
      </w:pPr>
      <w:r w:rsidRPr="00E2401A">
        <w:rPr>
          <w:sz w:val="22"/>
          <w:szCs w:val="22"/>
        </w:rPr>
        <w:t>FD2</w:t>
      </w:r>
      <w:r w:rsidRPr="00E2401A">
        <w:rPr>
          <w:sz w:val="22"/>
          <w:szCs w:val="22"/>
        </w:rPr>
        <w:tab/>
      </w:r>
      <w:r w:rsidRPr="00E2401A">
        <w:rPr>
          <w:sz w:val="22"/>
          <w:szCs w:val="22"/>
        </w:rPr>
        <w:tab/>
      </w:r>
      <w:r w:rsidRPr="00E2401A">
        <w:rPr>
          <w:sz w:val="22"/>
          <w:szCs w:val="22"/>
        </w:rPr>
        <w:tab/>
      </w:r>
      <w:r w:rsidRPr="00E2401A">
        <w:rPr>
          <w:color w:val="000000"/>
          <w:sz w:val="22"/>
          <w:szCs w:val="22"/>
        </w:rPr>
        <w:t>-0.011862</w:t>
      </w:r>
      <w:r w:rsidRPr="00E2401A">
        <w:rPr>
          <w:sz w:val="22"/>
          <w:szCs w:val="22"/>
        </w:rPr>
        <w:tab/>
      </w:r>
      <w:r w:rsidRPr="00E2401A">
        <w:rPr>
          <w:sz w:val="22"/>
          <w:szCs w:val="22"/>
        </w:rPr>
        <w:tab/>
      </w:r>
      <w:r w:rsidRPr="00E2401A">
        <w:rPr>
          <w:color w:val="000000"/>
          <w:sz w:val="22"/>
          <w:szCs w:val="22"/>
        </w:rPr>
        <w:t>0.005508</w:t>
      </w:r>
      <w:r w:rsidRPr="00E2401A">
        <w:rPr>
          <w:sz w:val="22"/>
          <w:szCs w:val="22"/>
        </w:rPr>
        <w:tab/>
      </w:r>
      <w:r w:rsidRPr="00E2401A">
        <w:rPr>
          <w:color w:val="000000"/>
          <w:sz w:val="22"/>
          <w:szCs w:val="22"/>
        </w:rPr>
        <w:t>-2.153492</w:t>
      </w:r>
      <w:r w:rsidRPr="00E2401A">
        <w:rPr>
          <w:sz w:val="22"/>
          <w:szCs w:val="22"/>
        </w:rPr>
        <w:tab/>
      </w:r>
      <w:r w:rsidRPr="00E2401A">
        <w:rPr>
          <w:sz w:val="22"/>
          <w:szCs w:val="22"/>
        </w:rPr>
        <w:tab/>
      </w:r>
      <w:r w:rsidRPr="00E2401A">
        <w:rPr>
          <w:color w:val="000000"/>
          <w:sz w:val="22"/>
          <w:szCs w:val="22"/>
        </w:rPr>
        <w:t>0.0329*</w:t>
      </w:r>
    </w:p>
    <w:p w14:paraId="213A4E46" w14:textId="77777777" w:rsidR="00506FCE" w:rsidRPr="00E2401A" w:rsidRDefault="00506FCE" w:rsidP="00506FCE">
      <w:pPr>
        <w:tabs>
          <w:tab w:val="left" w:pos="426"/>
        </w:tabs>
        <w:jc w:val="both"/>
        <w:rPr>
          <w:sz w:val="22"/>
          <w:szCs w:val="22"/>
        </w:rPr>
      </w:pPr>
      <w:r w:rsidRPr="00E2401A">
        <w:rPr>
          <w:sz w:val="22"/>
          <w:szCs w:val="22"/>
        </w:rPr>
        <w:t xml:space="preserve">Y </w:t>
      </w:r>
      <w:r w:rsidRPr="00E2401A">
        <w:rPr>
          <w:sz w:val="22"/>
          <w:szCs w:val="22"/>
        </w:rPr>
        <w:tab/>
      </w:r>
      <w:r w:rsidRPr="00E2401A">
        <w:rPr>
          <w:sz w:val="22"/>
          <w:szCs w:val="22"/>
        </w:rPr>
        <w:tab/>
      </w:r>
      <w:r w:rsidRPr="00E2401A">
        <w:rPr>
          <w:sz w:val="22"/>
          <w:szCs w:val="22"/>
        </w:rPr>
        <w:tab/>
      </w:r>
      <w:r w:rsidRPr="00E2401A">
        <w:rPr>
          <w:color w:val="000000"/>
          <w:sz w:val="22"/>
          <w:szCs w:val="22"/>
        </w:rPr>
        <w:t>1.17E-14</w:t>
      </w:r>
      <w:r w:rsidRPr="00E2401A">
        <w:rPr>
          <w:sz w:val="22"/>
          <w:szCs w:val="22"/>
        </w:rPr>
        <w:tab/>
      </w:r>
      <w:r w:rsidRPr="00E2401A">
        <w:rPr>
          <w:sz w:val="22"/>
          <w:szCs w:val="22"/>
        </w:rPr>
        <w:tab/>
      </w:r>
      <w:r w:rsidRPr="00E2401A">
        <w:rPr>
          <w:color w:val="000000"/>
          <w:sz w:val="22"/>
          <w:szCs w:val="22"/>
        </w:rPr>
        <w:t>1.56E-15</w:t>
      </w:r>
      <w:r w:rsidRPr="00E2401A">
        <w:rPr>
          <w:sz w:val="22"/>
          <w:szCs w:val="22"/>
        </w:rPr>
        <w:tab/>
      </w:r>
      <w:r w:rsidRPr="00E2401A">
        <w:rPr>
          <w:color w:val="000000"/>
          <w:sz w:val="22"/>
          <w:szCs w:val="22"/>
        </w:rPr>
        <w:t>7.495113</w:t>
      </w:r>
      <w:r w:rsidRPr="00E2401A">
        <w:rPr>
          <w:sz w:val="22"/>
          <w:szCs w:val="22"/>
        </w:rPr>
        <w:tab/>
      </w:r>
      <w:r w:rsidRPr="00E2401A">
        <w:rPr>
          <w:sz w:val="22"/>
          <w:szCs w:val="22"/>
        </w:rPr>
        <w:tab/>
        <w:t>0.0000*</w:t>
      </w:r>
    </w:p>
    <w:p w14:paraId="54D98EEC" w14:textId="77777777" w:rsidR="00506FCE" w:rsidRPr="00E2401A" w:rsidRDefault="00506FCE" w:rsidP="00506FCE">
      <w:pPr>
        <w:tabs>
          <w:tab w:val="left" w:pos="426"/>
        </w:tabs>
        <w:jc w:val="both"/>
        <w:rPr>
          <w:sz w:val="22"/>
          <w:szCs w:val="22"/>
        </w:rPr>
      </w:pPr>
      <w:r w:rsidRPr="00E2401A">
        <w:rPr>
          <w:sz w:val="22"/>
          <w:szCs w:val="22"/>
        </w:rPr>
        <w:t xml:space="preserve">KP </w:t>
      </w:r>
      <w:r w:rsidRPr="00E2401A">
        <w:rPr>
          <w:sz w:val="22"/>
          <w:szCs w:val="22"/>
        </w:rPr>
        <w:tab/>
      </w:r>
      <w:r w:rsidRPr="00E2401A">
        <w:rPr>
          <w:sz w:val="22"/>
          <w:szCs w:val="22"/>
        </w:rPr>
        <w:tab/>
      </w:r>
      <w:r w:rsidRPr="00E2401A">
        <w:rPr>
          <w:sz w:val="22"/>
          <w:szCs w:val="22"/>
        </w:rPr>
        <w:tab/>
      </w:r>
      <w:r w:rsidRPr="00E2401A">
        <w:rPr>
          <w:color w:val="000000"/>
          <w:sz w:val="22"/>
          <w:szCs w:val="22"/>
        </w:rPr>
        <w:t>3.39E-05</w:t>
      </w:r>
      <w:r w:rsidRPr="00E2401A">
        <w:rPr>
          <w:sz w:val="22"/>
          <w:szCs w:val="22"/>
        </w:rPr>
        <w:tab/>
      </w:r>
      <w:r w:rsidRPr="00E2401A">
        <w:rPr>
          <w:sz w:val="22"/>
          <w:szCs w:val="22"/>
        </w:rPr>
        <w:tab/>
      </w:r>
      <w:r w:rsidRPr="00E2401A">
        <w:rPr>
          <w:color w:val="000000"/>
          <w:sz w:val="22"/>
          <w:szCs w:val="22"/>
        </w:rPr>
        <w:t>9.21E-06</w:t>
      </w:r>
      <w:r w:rsidRPr="00E2401A">
        <w:rPr>
          <w:sz w:val="22"/>
          <w:szCs w:val="22"/>
        </w:rPr>
        <w:tab/>
      </w:r>
      <w:r w:rsidRPr="00E2401A">
        <w:rPr>
          <w:color w:val="000000"/>
          <w:sz w:val="22"/>
          <w:szCs w:val="22"/>
        </w:rPr>
        <w:t>3.685106</w:t>
      </w:r>
      <w:r w:rsidRPr="00E2401A">
        <w:rPr>
          <w:sz w:val="22"/>
          <w:szCs w:val="22"/>
        </w:rPr>
        <w:tab/>
      </w:r>
      <w:r w:rsidRPr="00E2401A">
        <w:rPr>
          <w:sz w:val="22"/>
          <w:szCs w:val="22"/>
        </w:rPr>
        <w:tab/>
        <w:t>0.0003*</w:t>
      </w:r>
    </w:p>
    <w:p w14:paraId="394CD61E" w14:textId="77777777" w:rsidR="00506FCE" w:rsidRPr="00E2401A" w:rsidRDefault="00506FCE" w:rsidP="00506FCE">
      <w:pPr>
        <w:tabs>
          <w:tab w:val="left" w:pos="426"/>
        </w:tabs>
        <w:jc w:val="both"/>
        <w:rPr>
          <w:color w:val="000000"/>
          <w:sz w:val="22"/>
          <w:szCs w:val="22"/>
        </w:rPr>
      </w:pPr>
      <w:r w:rsidRPr="00E2401A">
        <w:rPr>
          <w:sz w:val="22"/>
          <w:szCs w:val="22"/>
        </w:rPr>
        <w:t xml:space="preserve">PM </w:t>
      </w:r>
      <w:r w:rsidRPr="00E2401A">
        <w:rPr>
          <w:sz w:val="22"/>
          <w:szCs w:val="22"/>
        </w:rPr>
        <w:tab/>
      </w:r>
      <w:r w:rsidRPr="00E2401A">
        <w:rPr>
          <w:sz w:val="22"/>
          <w:szCs w:val="22"/>
        </w:rPr>
        <w:tab/>
      </w:r>
      <w:r w:rsidRPr="00E2401A">
        <w:rPr>
          <w:sz w:val="22"/>
          <w:szCs w:val="22"/>
        </w:rPr>
        <w:tab/>
      </w:r>
      <w:r w:rsidRPr="00E2401A">
        <w:rPr>
          <w:color w:val="000000"/>
          <w:sz w:val="22"/>
          <w:szCs w:val="22"/>
        </w:rPr>
        <w:t>0.000415</w:t>
      </w:r>
      <w:r w:rsidRPr="00E2401A">
        <w:rPr>
          <w:color w:val="000000"/>
          <w:sz w:val="22"/>
          <w:szCs w:val="22"/>
        </w:rPr>
        <w:tab/>
      </w:r>
      <w:r w:rsidRPr="00E2401A">
        <w:rPr>
          <w:color w:val="000000"/>
          <w:sz w:val="22"/>
          <w:szCs w:val="22"/>
        </w:rPr>
        <w:tab/>
        <w:t>0.000232</w:t>
      </w:r>
      <w:r w:rsidRPr="00E2401A">
        <w:rPr>
          <w:color w:val="000000"/>
          <w:sz w:val="22"/>
          <w:szCs w:val="22"/>
        </w:rPr>
        <w:tab/>
        <w:t>1.789863</w:t>
      </w:r>
      <w:r w:rsidRPr="00E2401A">
        <w:rPr>
          <w:color w:val="000000"/>
          <w:sz w:val="22"/>
          <w:szCs w:val="22"/>
        </w:rPr>
        <w:tab/>
      </w:r>
      <w:r w:rsidRPr="00E2401A">
        <w:rPr>
          <w:color w:val="000000"/>
          <w:sz w:val="22"/>
          <w:szCs w:val="22"/>
        </w:rPr>
        <w:tab/>
        <w:t>0.0755**</w:t>
      </w:r>
    </w:p>
    <w:p w14:paraId="53BF0355" w14:textId="77777777" w:rsidR="00506FCE" w:rsidRPr="00E2401A" w:rsidRDefault="00506FCE" w:rsidP="00506FCE">
      <w:pPr>
        <w:tabs>
          <w:tab w:val="left" w:pos="426"/>
        </w:tabs>
        <w:jc w:val="both"/>
        <w:rPr>
          <w:color w:val="000000"/>
          <w:sz w:val="22"/>
          <w:szCs w:val="22"/>
        </w:rPr>
      </w:pPr>
      <w:r w:rsidRPr="00E2401A">
        <w:rPr>
          <w:color w:val="000000"/>
          <w:sz w:val="22"/>
          <w:szCs w:val="22"/>
        </w:rPr>
        <w:t xml:space="preserve">TPT </w:t>
      </w:r>
      <w:r w:rsidRPr="00E2401A">
        <w:rPr>
          <w:color w:val="000000"/>
          <w:sz w:val="22"/>
          <w:szCs w:val="22"/>
        </w:rPr>
        <w:tab/>
      </w:r>
      <w:r w:rsidRPr="00E2401A">
        <w:rPr>
          <w:color w:val="000000"/>
          <w:sz w:val="22"/>
          <w:szCs w:val="22"/>
        </w:rPr>
        <w:tab/>
        <w:t>0.001749</w:t>
      </w:r>
      <w:r w:rsidRPr="00E2401A">
        <w:rPr>
          <w:color w:val="000000"/>
          <w:sz w:val="22"/>
          <w:szCs w:val="22"/>
        </w:rPr>
        <w:tab/>
      </w:r>
      <w:r w:rsidRPr="00E2401A">
        <w:rPr>
          <w:color w:val="000000"/>
          <w:sz w:val="22"/>
          <w:szCs w:val="22"/>
        </w:rPr>
        <w:tab/>
        <w:t>0.002210</w:t>
      </w:r>
      <w:r w:rsidRPr="00E2401A">
        <w:rPr>
          <w:color w:val="000000"/>
          <w:sz w:val="22"/>
          <w:szCs w:val="22"/>
        </w:rPr>
        <w:tab/>
        <w:t>0.791324</w:t>
      </w:r>
      <w:r w:rsidRPr="00E2401A">
        <w:rPr>
          <w:color w:val="000000"/>
          <w:sz w:val="22"/>
          <w:szCs w:val="22"/>
        </w:rPr>
        <w:tab/>
      </w:r>
      <w:r w:rsidRPr="00E2401A">
        <w:rPr>
          <w:color w:val="000000"/>
          <w:sz w:val="22"/>
          <w:szCs w:val="22"/>
        </w:rPr>
        <w:tab/>
        <w:t>0.4300</w:t>
      </w:r>
    </w:p>
    <w:p w14:paraId="61EFA3D3" w14:textId="77777777" w:rsidR="00506FCE" w:rsidRPr="00E2401A" w:rsidRDefault="00AC48D5" w:rsidP="00506FCE">
      <w:pPr>
        <w:pBdr>
          <w:top w:val="single" w:sz="12" w:space="1" w:color="auto"/>
          <w:bottom w:val="single" w:sz="12" w:space="1" w:color="auto"/>
        </w:pBdr>
        <w:tabs>
          <w:tab w:val="left" w:pos="426"/>
        </w:tabs>
        <w:jc w:val="center"/>
        <w:rPr>
          <w:bCs/>
          <w:sz w:val="22"/>
          <w:szCs w:val="22"/>
        </w:rPr>
      </w:pPr>
      <w:r w:rsidRPr="00E2401A">
        <w:rPr>
          <w:bCs/>
          <w:sz w:val="22"/>
          <w:szCs w:val="22"/>
        </w:rPr>
        <w:t xml:space="preserve">Model 3 (FD3) </w:t>
      </w:r>
      <w:r w:rsidR="00B46C9B" w:rsidRPr="00E2401A">
        <w:rPr>
          <w:bCs/>
          <w:sz w:val="22"/>
          <w:szCs w:val="22"/>
        </w:rPr>
        <w:t>Third Party Funds</w:t>
      </w:r>
      <w:r w:rsidR="00730374" w:rsidRPr="00E2401A">
        <w:rPr>
          <w:bCs/>
          <w:sz w:val="22"/>
          <w:szCs w:val="22"/>
        </w:rPr>
        <w:t xml:space="preserve"> Ratio</w:t>
      </w:r>
      <w:r w:rsidR="00506FCE" w:rsidRPr="00E2401A">
        <w:rPr>
          <w:bCs/>
          <w:sz w:val="22"/>
          <w:szCs w:val="22"/>
        </w:rPr>
        <w:t>/</w:t>
      </w:r>
      <w:r w:rsidR="00D038D8" w:rsidRPr="00E2401A">
        <w:rPr>
          <w:bCs/>
          <w:sz w:val="22"/>
          <w:szCs w:val="22"/>
        </w:rPr>
        <w:t>GDRP</w:t>
      </w:r>
    </w:p>
    <w:p w14:paraId="416CCE96" w14:textId="77777777" w:rsidR="00506FCE" w:rsidRPr="00E2401A" w:rsidRDefault="00506FCE" w:rsidP="00506FCE">
      <w:pPr>
        <w:tabs>
          <w:tab w:val="left" w:pos="426"/>
        </w:tabs>
        <w:jc w:val="both"/>
        <w:rPr>
          <w:sz w:val="22"/>
          <w:szCs w:val="22"/>
        </w:rPr>
      </w:pPr>
      <w:r w:rsidRPr="00E2401A">
        <w:rPr>
          <w:sz w:val="22"/>
          <w:szCs w:val="22"/>
        </w:rPr>
        <w:t xml:space="preserve">C </w:t>
      </w:r>
      <w:r w:rsidRPr="00E2401A">
        <w:rPr>
          <w:sz w:val="22"/>
          <w:szCs w:val="22"/>
        </w:rPr>
        <w:tab/>
      </w:r>
      <w:r w:rsidRPr="00E2401A">
        <w:rPr>
          <w:sz w:val="22"/>
          <w:szCs w:val="22"/>
        </w:rPr>
        <w:tab/>
      </w:r>
      <w:r w:rsidRPr="00E2401A">
        <w:rPr>
          <w:sz w:val="22"/>
          <w:szCs w:val="22"/>
        </w:rPr>
        <w:tab/>
      </w:r>
      <w:r w:rsidRPr="00E2401A">
        <w:rPr>
          <w:color w:val="000000"/>
          <w:sz w:val="22"/>
          <w:szCs w:val="22"/>
        </w:rPr>
        <w:t>0.201046</w:t>
      </w:r>
      <w:r w:rsidRPr="00E2401A">
        <w:rPr>
          <w:sz w:val="22"/>
          <w:szCs w:val="22"/>
        </w:rPr>
        <w:tab/>
      </w:r>
      <w:r w:rsidRPr="00E2401A">
        <w:rPr>
          <w:sz w:val="22"/>
          <w:szCs w:val="22"/>
        </w:rPr>
        <w:tab/>
      </w:r>
      <w:r w:rsidRPr="00E2401A">
        <w:rPr>
          <w:color w:val="000000"/>
          <w:sz w:val="22"/>
          <w:szCs w:val="22"/>
        </w:rPr>
        <w:t>0.034483</w:t>
      </w:r>
      <w:r w:rsidRPr="00E2401A">
        <w:rPr>
          <w:sz w:val="22"/>
          <w:szCs w:val="22"/>
        </w:rPr>
        <w:tab/>
      </w:r>
      <w:r w:rsidRPr="00E2401A">
        <w:rPr>
          <w:color w:val="000000"/>
          <w:sz w:val="22"/>
          <w:szCs w:val="22"/>
        </w:rPr>
        <w:t>5.830202</w:t>
      </w:r>
      <w:r w:rsidR="00B46C9B" w:rsidRPr="00E2401A">
        <w:rPr>
          <w:color w:val="000000"/>
          <w:sz w:val="22"/>
          <w:szCs w:val="22"/>
        </w:rPr>
        <w:tab/>
      </w:r>
      <w:r w:rsidR="00B46C9B" w:rsidRPr="00E2401A">
        <w:rPr>
          <w:color w:val="000000"/>
          <w:sz w:val="22"/>
          <w:szCs w:val="22"/>
        </w:rPr>
        <w:tab/>
      </w:r>
      <w:r w:rsidRPr="00E2401A">
        <w:rPr>
          <w:sz w:val="22"/>
          <w:szCs w:val="22"/>
        </w:rPr>
        <w:t>0.0000</w:t>
      </w:r>
    </w:p>
    <w:p w14:paraId="063E30C7" w14:textId="77777777" w:rsidR="00506FCE" w:rsidRPr="00E2401A" w:rsidRDefault="00506FCE" w:rsidP="00506FCE">
      <w:pPr>
        <w:tabs>
          <w:tab w:val="left" w:pos="426"/>
        </w:tabs>
        <w:jc w:val="both"/>
        <w:rPr>
          <w:sz w:val="22"/>
          <w:szCs w:val="22"/>
        </w:rPr>
      </w:pPr>
      <w:r w:rsidRPr="00E2401A">
        <w:rPr>
          <w:sz w:val="22"/>
          <w:szCs w:val="22"/>
        </w:rPr>
        <w:t>FD3</w:t>
      </w:r>
      <w:r w:rsidRPr="00E2401A">
        <w:rPr>
          <w:sz w:val="22"/>
          <w:szCs w:val="22"/>
        </w:rPr>
        <w:tab/>
      </w:r>
      <w:r w:rsidRPr="00E2401A">
        <w:rPr>
          <w:sz w:val="22"/>
          <w:szCs w:val="22"/>
        </w:rPr>
        <w:tab/>
      </w:r>
      <w:r w:rsidRPr="00E2401A">
        <w:rPr>
          <w:sz w:val="22"/>
          <w:szCs w:val="22"/>
        </w:rPr>
        <w:tab/>
      </w:r>
      <w:r w:rsidRPr="00E2401A">
        <w:rPr>
          <w:color w:val="000000"/>
          <w:sz w:val="22"/>
          <w:szCs w:val="22"/>
        </w:rPr>
        <w:t>-0.021692</w:t>
      </w:r>
      <w:r w:rsidRPr="00E2401A">
        <w:rPr>
          <w:sz w:val="22"/>
          <w:szCs w:val="22"/>
        </w:rPr>
        <w:tab/>
      </w:r>
      <w:r w:rsidRPr="00E2401A">
        <w:rPr>
          <w:sz w:val="22"/>
          <w:szCs w:val="22"/>
        </w:rPr>
        <w:tab/>
      </w:r>
      <w:r w:rsidRPr="00E2401A">
        <w:rPr>
          <w:color w:val="000000"/>
          <w:sz w:val="22"/>
          <w:szCs w:val="22"/>
        </w:rPr>
        <w:t>0.010436</w:t>
      </w:r>
      <w:r w:rsidRPr="00E2401A">
        <w:rPr>
          <w:sz w:val="22"/>
          <w:szCs w:val="22"/>
        </w:rPr>
        <w:tab/>
      </w:r>
      <w:r w:rsidRPr="00E2401A">
        <w:rPr>
          <w:color w:val="000000"/>
          <w:sz w:val="22"/>
          <w:szCs w:val="22"/>
        </w:rPr>
        <w:t>-2.078658</w:t>
      </w:r>
      <w:r w:rsidRPr="00E2401A">
        <w:rPr>
          <w:sz w:val="22"/>
          <w:szCs w:val="22"/>
        </w:rPr>
        <w:tab/>
      </w:r>
      <w:r w:rsidRPr="00E2401A">
        <w:rPr>
          <w:sz w:val="22"/>
          <w:szCs w:val="22"/>
        </w:rPr>
        <w:tab/>
      </w:r>
      <w:r w:rsidRPr="00E2401A">
        <w:rPr>
          <w:color w:val="000000"/>
          <w:sz w:val="22"/>
          <w:szCs w:val="22"/>
        </w:rPr>
        <w:t>0.0394*</w:t>
      </w:r>
    </w:p>
    <w:p w14:paraId="1AE2056E" w14:textId="77777777" w:rsidR="00506FCE" w:rsidRPr="00E2401A" w:rsidRDefault="00506FCE" w:rsidP="00506FCE">
      <w:pPr>
        <w:tabs>
          <w:tab w:val="left" w:pos="426"/>
        </w:tabs>
        <w:jc w:val="both"/>
        <w:rPr>
          <w:sz w:val="22"/>
          <w:szCs w:val="22"/>
        </w:rPr>
      </w:pPr>
      <w:r w:rsidRPr="00E2401A">
        <w:rPr>
          <w:sz w:val="22"/>
          <w:szCs w:val="22"/>
        </w:rPr>
        <w:t xml:space="preserve">Y </w:t>
      </w:r>
      <w:r w:rsidRPr="00E2401A">
        <w:rPr>
          <w:sz w:val="22"/>
          <w:szCs w:val="22"/>
        </w:rPr>
        <w:tab/>
      </w:r>
      <w:r w:rsidRPr="00E2401A">
        <w:rPr>
          <w:sz w:val="22"/>
          <w:szCs w:val="22"/>
        </w:rPr>
        <w:tab/>
      </w:r>
      <w:r w:rsidRPr="00E2401A">
        <w:rPr>
          <w:sz w:val="22"/>
          <w:szCs w:val="22"/>
        </w:rPr>
        <w:tab/>
      </w:r>
      <w:r w:rsidRPr="00E2401A">
        <w:rPr>
          <w:color w:val="000000"/>
          <w:sz w:val="22"/>
          <w:szCs w:val="22"/>
        </w:rPr>
        <w:t>1.18E-14</w:t>
      </w:r>
      <w:r w:rsidRPr="00E2401A">
        <w:rPr>
          <w:sz w:val="22"/>
          <w:szCs w:val="22"/>
        </w:rPr>
        <w:tab/>
      </w:r>
      <w:r w:rsidRPr="00E2401A">
        <w:rPr>
          <w:sz w:val="22"/>
          <w:szCs w:val="22"/>
        </w:rPr>
        <w:tab/>
      </w:r>
      <w:r w:rsidRPr="00E2401A">
        <w:rPr>
          <w:color w:val="000000"/>
          <w:sz w:val="22"/>
          <w:szCs w:val="22"/>
        </w:rPr>
        <w:t>1.56E-15</w:t>
      </w:r>
      <w:r w:rsidRPr="00E2401A">
        <w:rPr>
          <w:sz w:val="22"/>
          <w:szCs w:val="22"/>
        </w:rPr>
        <w:tab/>
      </w:r>
      <w:r w:rsidRPr="00E2401A">
        <w:rPr>
          <w:color w:val="000000"/>
          <w:sz w:val="22"/>
          <w:szCs w:val="22"/>
        </w:rPr>
        <w:t>7.576894</w:t>
      </w:r>
      <w:r w:rsidRPr="00E2401A">
        <w:rPr>
          <w:sz w:val="22"/>
          <w:szCs w:val="22"/>
        </w:rPr>
        <w:tab/>
      </w:r>
      <w:r w:rsidRPr="00E2401A">
        <w:rPr>
          <w:sz w:val="22"/>
          <w:szCs w:val="22"/>
        </w:rPr>
        <w:tab/>
        <w:t>0.0000*</w:t>
      </w:r>
    </w:p>
    <w:p w14:paraId="6BF71D35" w14:textId="77777777" w:rsidR="00506FCE" w:rsidRPr="00E2401A" w:rsidRDefault="00506FCE" w:rsidP="00506FCE">
      <w:pPr>
        <w:tabs>
          <w:tab w:val="left" w:pos="426"/>
        </w:tabs>
        <w:jc w:val="both"/>
        <w:rPr>
          <w:sz w:val="22"/>
          <w:szCs w:val="22"/>
        </w:rPr>
      </w:pPr>
      <w:r w:rsidRPr="00E2401A">
        <w:rPr>
          <w:sz w:val="22"/>
          <w:szCs w:val="22"/>
        </w:rPr>
        <w:t xml:space="preserve">KP </w:t>
      </w:r>
      <w:r w:rsidRPr="00E2401A">
        <w:rPr>
          <w:sz w:val="22"/>
          <w:szCs w:val="22"/>
        </w:rPr>
        <w:tab/>
      </w:r>
      <w:r w:rsidRPr="00E2401A">
        <w:rPr>
          <w:sz w:val="22"/>
          <w:szCs w:val="22"/>
        </w:rPr>
        <w:tab/>
      </w:r>
      <w:r w:rsidRPr="00E2401A">
        <w:rPr>
          <w:sz w:val="22"/>
          <w:szCs w:val="22"/>
        </w:rPr>
        <w:tab/>
      </w:r>
      <w:r w:rsidRPr="00E2401A">
        <w:rPr>
          <w:color w:val="000000"/>
          <w:sz w:val="22"/>
          <w:szCs w:val="22"/>
        </w:rPr>
        <w:t>3.35E-05</w:t>
      </w:r>
      <w:r w:rsidRPr="00E2401A">
        <w:rPr>
          <w:sz w:val="22"/>
          <w:szCs w:val="22"/>
        </w:rPr>
        <w:tab/>
      </w:r>
      <w:r w:rsidRPr="00E2401A">
        <w:rPr>
          <w:sz w:val="22"/>
          <w:szCs w:val="22"/>
        </w:rPr>
        <w:tab/>
      </w:r>
      <w:r w:rsidRPr="00E2401A">
        <w:rPr>
          <w:color w:val="000000"/>
          <w:sz w:val="22"/>
          <w:szCs w:val="22"/>
        </w:rPr>
        <w:t>9.19E-06</w:t>
      </w:r>
      <w:r w:rsidRPr="00E2401A">
        <w:rPr>
          <w:sz w:val="22"/>
          <w:szCs w:val="22"/>
        </w:rPr>
        <w:tab/>
      </w:r>
      <w:r w:rsidRPr="00E2401A">
        <w:rPr>
          <w:color w:val="000000"/>
          <w:sz w:val="22"/>
          <w:szCs w:val="22"/>
        </w:rPr>
        <w:t>3.649327</w:t>
      </w:r>
      <w:r w:rsidRPr="00E2401A">
        <w:rPr>
          <w:sz w:val="22"/>
          <w:szCs w:val="22"/>
        </w:rPr>
        <w:tab/>
      </w:r>
      <w:r w:rsidRPr="00E2401A">
        <w:rPr>
          <w:sz w:val="22"/>
          <w:szCs w:val="22"/>
        </w:rPr>
        <w:tab/>
      </w:r>
      <w:r w:rsidRPr="00E2401A">
        <w:rPr>
          <w:color w:val="000000"/>
          <w:sz w:val="22"/>
          <w:szCs w:val="22"/>
        </w:rPr>
        <w:t>0.0004*</w:t>
      </w:r>
    </w:p>
    <w:p w14:paraId="022868B4" w14:textId="77777777" w:rsidR="00506FCE" w:rsidRPr="00E2401A" w:rsidRDefault="00506FCE" w:rsidP="00506FCE">
      <w:pPr>
        <w:tabs>
          <w:tab w:val="left" w:pos="426"/>
        </w:tabs>
        <w:jc w:val="both"/>
        <w:rPr>
          <w:color w:val="000000"/>
          <w:sz w:val="22"/>
          <w:szCs w:val="22"/>
        </w:rPr>
      </w:pPr>
      <w:r w:rsidRPr="00E2401A">
        <w:rPr>
          <w:sz w:val="22"/>
          <w:szCs w:val="22"/>
        </w:rPr>
        <w:t xml:space="preserve">PM </w:t>
      </w:r>
      <w:r w:rsidRPr="00E2401A">
        <w:rPr>
          <w:sz w:val="22"/>
          <w:szCs w:val="22"/>
        </w:rPr>
        <w:tab/>
      </w:r>
      <w:r w:rsidRPr="00E2401A">
        <w:rPr>
          <w:sz w:val="22"/>
          <w:szCs w:val="22"/>
        </w:rPr>
        <w:tab/>
      </w:r>
      <w:r w:rsidRPr="00E2401A">
        <w:rPr>
          <w:sz w:val="22"/>
          <w:szCs w:val="22"/>
        </w:rPr>
        <w:tab/>
      </w:r>
      <w:r w:rsidRPr="00E2401A">
        <w:rPr>
          <w:color w:val="000000"/>
          <w:sz w:val="22"/>
          <w:szCs w:val="22"/>
        </w:rPr>
        <w:t>0.000410</w:t>
      </w:r>
      <w:r w:rsidRPr="00E2401A">
        <w:rPr>
          <w:color w:val="000000"/>
          <w:sz w:val="22"/>
          <w:szCs w:val="22"/>
        </w:rPr>
        <w:tab/>
      </w:r>
      <w:r w:rsidRPr="00E2401A">
        <w:rPr>
          <w:color w:val="000000"/>
          <w:sz w:val="22"/>
          <w:szCs w:val="22"/>
        </w:rPr>
        <w:tab/>
        <w:t>0.000232</w:t>
      </w:r>
      <w:r w:rsidRPr="00E2401A">
        <w:rPr>
          <w:color w:val="000000"/>
          <w:sz w:val="22"/>
          <w:szCs w:val="22"/>
        </w:rPr>
        <w:tab/>
        <w:t>1.763982</w:t>
      </w:r>
      <w:r w:rsidRPr="00E2401A">
        <w:rPr>
          <w:color w:val="000000"/>
          <w:sz w:val="22"/>
          <w:szCs w:val="22"/>
        </w:rPr>
        <w:tab/>
      </w:r>
      <w:r w:rsidRPr="00E2401A">
        <w:rPr>
          <w:color w:val="000000"/>
          <w:sz w:val="22"/>
          <w:szCs w:val="22"/>
        </w:rPr>
        <w:tab/>
        <w:t>0.0798**</w:t>
      </w:r>
    </w:p>
    <w:p w14:paraId="63456AF9" w14:textId="77777777" w:rsidR="00506FCE" w:rsidRPr="00E2401A" w:rsidRDefault="00506FCE" w:rsidP="00506FCE">
      <w:pPr>
        <w:pBdr>
          <w:bottom w:val="single" w:sz="12" w:space="1" w:color="auto"/>
        </w:pBdr>
        <w:tabs>
          <w:tab w:val="left" w:pos="426"/>
        </w:tabs>
        <w:jc w:val="both"/>
        <w:rPr>
          <w:color w:val="000000"/>
          <w:sz w:val="22"/>
          <w:szCs w:val="22"/>
        </w:rPr>
      </w:pPr>
      <w:r w:rsidRPr="00E2401A">
        <w:rPr>
          <w:color w:val="000000"/>
          <w:sz w:val="22"/>
          <w:szCs w:val="22"/>
        </w:rPr>
        <w:t xml:space="preserve">TPT </w:t>
      </w:r>
      <w:r w:rsidRPr="00E2401A">
        <w:rPr>
          <w:color w:val="000000"/>
          <w:sz w:val="22"/>
          <w:szCs w:val="22"/>
        </w:rPr>
        <w:tab/>
      </w:r>
      <w:r w:rsidRPr="00E2401A">
        <w:rPr>
          <w:color w:val="000000"/>
          <w:sz w:val="22"/>
          <w:szCs w:val="22"/>
        </w:rPr>
        <w:tab/>
        <w:t>0.001732</w:t>
      </w:r>
      <w:r w:rsidRPr="00E2401A">
        <w:rPr>
          <w:color w:val="000000"/>
          <w:sz w:val="22"/>
          <w:szCs w:val="22"/>
        </w:rPr>
        <w:tab/>
      </w:r>
      <w:r w:rsidRPr="00E2401A">
        <w:rPr>
          <w:color w:val="000000"/>
          <w:sz w:val="22"/>
          <w:szCs w:val="22"/>
        </w:rPr>
        <w:tab/>
        <w:t>0.002213</w:t>
      </w:r>
      <w:r w:rsidRPr="00E2401A">
        <w:rPr>
          <w:color w:val="000000"/>
          <w:sz w:val="22"/>
          <w:szCs w:val="22"/>
        </w:rPr>
        <w:tab/>
        <w:t>0.782814</w:t>
      </w:r>
      <w:r w:rsidRPr="00E2401A">
        <w:rPr>
          <w:color w:val="000000"/>
          <w:sz w:val="22"/>
          <w:szCs w:val="22"/>
        </w:rPr>
        <w:tab/>
      </w:r>
      <w:r w:rsidRPr="00E2401A">
        <w:rPr>
          <w:color w:val="000000"/>
          <w:sz w:val="22"/>
          <w:szCs w:val="22"/>
        </w:rPr>
        <w:tab/>
        <w:t>0.4350</w:t>
      </w:r>
    </w:p>
    <w:p w14:paraId="62D60B72" w14:textId="77777777" w:rsidR="005E081B" w:rsidRPr="00E2401A" w:rsidRDefault="005E081B" w:rsidP="005E081B">
      <w:pPr>
        <w:tabs>
          <w:tab w:val="center" w:pos="4680"/>
          <w:tab w:val="right" w:pos="9360"/>
        </w:tabs>
        <w:jc w:val="both"/>
        <w:rPr>
          <w:sz w:val="22"/>
          <w:szCs w:val="22"/>
        </w:rPr>
      </w:pPr>
      <w:r w:rsidRPr="00E2401A">
        <w:rPr>
          <w:sz w:val="22"/>
          <w:szCs w:val="22"/>
        </w:rPr>
        <w:t>F-statistic Model 1 (FD1)                         8.738883</w:t>
      </w:r>
      <w:r w:rsidRPr="00E2401A">
        <w:rPr>
          <w:sz w:val="22"/>
          <w:szCs w:val="22"/>
        </w:rPr>
        <w:tab/>
        <w:t xml:space="preserve">                 Prob.                    0.000000</w:t>
      </w:r>
    </w:p>
    <w:p w14:paraId="39F8B29D" w14:textId="77777777" w:rsidR="00B46C9B" w:rsidRPr="00E2401A" w:rsidRDefault="00B46C9B" w:rsidP="00B46C9B">
      <w:pPr>
        <w:tabs>
          <w:tab w:val="center" w:pos="4680"/>
          <w:tab w:val="right" w:pos="9360"/>
        </w:tabs>
        <w:jc w:val="both"/>
        <w:rPr>
          <w:sz w:val="22"/>
          <w:szCs w:val="22"/>
        </w:rPr>
      </w:pPr>
      <w:r w:rsidRPr="00E2401A">
        <w:rPr>
          <w:sz w:val="22"/>
          <w:szCs w:val="22"/>
        </w:rPr>
        <w:t>F-statistic Model 2 (FD2)                         8.789621</w:t>
      </w:r>
      <w:r w:rsidRPr="00E2401A">
        <w:rPr>
          <w:sz w:val="22"/>
          <w:szCs w:val="22"/>
        </w:rPr>
        <w:tab/>
        <w:t xml:space="preserve">                 Prob.                    0.000000</w:t>
      </w:r>
    </w:p>
    <w:p w14:paraId="14E91179" w14:textId="77777777" w:rsidR="00B46C9B" w:rsidRPr="00E2401A" w:rsidRDefault="00B46C9B" w:rsidP="00B46C9B">
      <w:pPr>
        <w:pBdr>
          <w:bottom w:val="single" w:sz="12" w:space="1" w:color="auto"/>
        </w:pBdr>
        <w:tabs>
          <w:tab w:val="center" w:pos="4680"/>
          <w:tab w:val="right" w:pos="9360"/>
        </w:tabs>
        <w:jc w:val="both"/>
        <w:rPr>
          <w:sz w:val="22"/>
          <w:szCs w:val="22"/>
        </w:rPr>
      </w:pPr>
      <w:r w:rsidRPr="00E2401A">
        <w:rPr>
          <w:sz w:val="22"/>
          <w:szCs w:val="22"/>
        </w:rPr>
        <w:t>F-statistic Model 3 (FD2)                         8.763953                 Prob.                    0.000000</w:t>
      </w:r>
    </w:p>
    <w:p w14:paraId="4C4FF9AA" w14:textId="77777777" w:rsidR="00506FCE" w:rsidRPr="00E2401A" w:rsidRDefault="00506FCE" w:rsidP="00B46C9B">
      <w:pPr>
        <w:tabs>
          <w:tab w:val="center" w:pos="4680"/>
          <w:tab w:val="right" w:pos="9360"/>
        </w:tabs>
        <w:jc w:val="both"/>
        <w:rPr>
          <w:b/>
          <w:sz w:val="22"/>
          <w:szCs w:val="22"/>
        </w:rPr>
      </w:pPr>
      <w:r w:rsidRPr="00E2401A">
        <w:rPr>
          <w:color w:val="000000"/>
          <w:sz w:val="22"/>
          <w:szCs w:val="22"/>
        </w:rPr>
        <w:t>Adjusted R-squared</w:t>
      </w:r>
      <w:r w:rsidRPr="00E2401A">
        <w:rPr>
          <w:sz w:val="22"/>
          <w:szCs w:val="22"/>
        </w:rPr>
        <w:t xml:space="preserve"> Model 1 (FD1)</w:t>
      </w:r>
      <w:r w:rsidR="00B46C9B" w:rsidRPr="00E2401A">
        <w:rPr>
          <w:sz w:val="22"/>
          <w:szCs w:val="22"/>
        </w:rPr>
        <w:t xml:space="preserve">      </w:t>
      </w:r>
      <w:r w:rsidR="00730374" w:rsidRPr="00E2401A">
        <w:rPr>
          <w:sz w:val="22"/>
          <w:szCs w:val="22"/>
        </w:rPr>
        <w:t xml:space="preserve">  </w:t>
      </w:r>
      <w:r w:rsidRPr="00E2401A">
        <w:rPr>
          <w:sz w:val="22"/>
          <w:szCs w:val="22"/>
        </w:rPr>
        <w:t>0.632319</w:t>
      </w:r>
    </w:p>
    <w:p w14:paraId="3329DD21" w14:textId="77777777" w:rsidR="00506FCE" w:rsidRPr="00E2401A" w:rsidRDefault="00506FCE" w:rsidP="00506FCE">
      <w:pPr>
        <w:tabs>
          <w:tab w:val="left" w:pos="426"/>
        </w:tabs>
        <w:jc w:val="both"/>
        <w:rPr>
          <w:b/>
          <w:sz w:val="22"/>
          <w:szCs w:val="22"/>
        </w:rPr>
      </w:pPr>
      <w:r w:rsidRPr="00E2401A">
        <w:rPr>
          <w:color w:val="000000"/>
          <w:sz w:val="22"/>
          <w:szCs w:val="22"/>
        </w:rPr>
        <w:t>Adjusted R-squared</w:t>
      </w:r>
      <w:r w:rsidRPr="00E2401A">
        <w:rPr>
          <w:sz w:val="22"/>
          <w:szCs w:val="22"/>
        </w:rPr>
        <w:t xml:space="preserve"> Model 2 (FD2)</w:t>
      </w:r>
      <w:r w:rsidRPr="00E2401A">
        <w:rPr>
          <w:sz w:val="22"/>
          <w:szCs w:val="22"/>
        </w:rPr>
        <w:tab/>
        <w:t>0.633837</w:t>
      </w:r>
    </w:p>
    <w:p w14:paraId="681503D1" w14:textId="77777777" w:rsidR="00506FCE" w:rsidRPr="00E2401A" w:rsidRDefault="00506FCE" w:rsidP="00506FCE">
      <w:pPr>
        <w:pBdr>
          <w:bottom w:val="single" w:sz="12" w:space="1" w:color="auto"/>
        </w:pBdr>
        <w:tabs>
          <w:tab w:val="left" w:pos="426"/>
        </w:tabs>
        <w:jc w:val="both"/>
        <w:rPr>
          <w:b/>
          <w:sz w:val="22"/>
          <w:szCs w:val="22"/>
        </w:rPr>
      </w:pPr>
      <w:r w:rsidRPr="00E2401A">
        <w:rPr>
          <w:color w:val="000000"/>
          <w:sz w:val="22"/>
          <w:szCs w:val="22"/>
        </w:rPr>
        <w:t>Adjusted R-squared</w:t>
      </w:r>
      <w:r w:rsidRPr="00E2401A">
        <w:rPr>
          <w:sz w:val="22"/>
          <w:szCs w:val="22"/>
        </w:rPr>
        <w:t xml:space="preserve"> Model 3 (FD3)</w:t>
      </w:r>
      <w:r w:rsidRPr="00E2401A">
        <w:rPr>
          <w:sz w:val="22"/>
          <w:szCs w:val="22"/>
        </w:rPr>
        <w:tab/>
      </w:r>
      <w:r w:rsidRPr="00E2401A">
        <w:rPr>
          <w:color w:val="000000"/>
          <w:sz w:val="22"/>
          <w:szCs w:val="22"/>
        </w:rPr>
        <w:t>0.633071</w:t>
      </w:r>
    </w:p>
    <w:p w14:paraId="04ED25B7" w14:textId="4464F2FA" w:rsidR="00506FCE" w:rsidRPr="00E45DA0" w:rsidRDefault="00506FCE" w:rsidP="00E2401A">
      <w:pPr>
        <w:rPr>
          <w:rFonts w:ascii="Arial" w:hAnsi="Arial" w:cs="Arial"/>
          <w:i/>
          <w:iCs/>
          <w:sz w:val="22"/>
          <w:szCs w:val="22"/>
        </w:rPr>
      </w:pPr>
      <w:r w:rsidRPr="00E45DA0">
        <w:rPr>
          <w:i/>
          <w:iCs/>
          <w:sz w:val="22"/>
          <w:szCs w:val="22"/>
        </w:rPr>
        <w:t xml:space="preserve">* </w:t>
      </w:r>
      <w:r w:rsidR="00291CA9" w:rsidRPr="00E45DA0">
        <w:rPr>
          <w:i/>
          <w:iCs/>
          <w:sz w:val="22"/>
          <w:szCs w:val="22"/>
        </w:rPr>
        <w:t>Significant at the level</w:t>
      </w:r>
      <w:r w:rsidRPr="00E45DA0">
        <w:rPr>
          <w:i/>
          <w:iCs/>
          <w:sz w:val="22"/>
          <w:szCs w:val="22"/>
        </w:rPr>
        <w:t xml:space="preserve"> 5</w:t>
      </w:r>
      <w:proofErr w:type="gramStart"/>
      <w:r w:rsidRPr="00E45DA0">
        <w:rPr>
          <w:i/>
          <w:iCs/>
          <w:sz w:val="22"/>
          <w:szCs w:val="22"/>
        </w:rPr>
        <w:t>%</w:t>
      </w:r>
      <w:r w:rsidR="00E2401A" w:rsidRPr="00E45DA0">
        <w:rPr>
          <w:i/>
          <w:iCs/>
          <w:sz w:val="22"/>
          <w:szCs w:val="22"/>
        </w:rPr>
        <w:t xml:space="preserve">,  </w:t>
      </w:r>
      <w:r w:rsidRPr="00E45DA0">
        <w:rPr>
          <w:i/>
          <w:iCs/>
          <w:sz w:val="22"/>
          <w:szCs w:val="22"/>
        </w:rPr>
        <w:t>*</w:t>
      </w:r>
      <w:proofErr w:type="gramEnd"/>
      <w:r w:rsidRPr="00E45DA0">
        <w:rPr>
          <w:i/>
          <w:iCs/>
          <w:sz w:val="22"/>
          <w:szCs w:val="22"/>
        </w:rPr>
        <w:t xml:space="preserve">* </w:t>
      </w:r>
      <w:r w:rsidR="00291CA9" w:rsidRPr="00E45DA0">
        <w:rPr>
          <w:i/>
          <w:iCs/>
          <w:sz w:val="22"/>
          <w:szCs w:val="22"/>
        </w:rPr>
        <w:t xml:space="preserve">Significant at the level </w:t>
      </w:r>
      <w:r w:rsidRPr="00E45DA0">
        <w:rPr>
          <w:i/>
          <w:iCs/>
          <w:sz w:val="22"/>
          <w:szCs w:val="22"/>
        </w:rPr>
        <w:t>10%</w:t>
      </w:r>
    </w:p>
    <w:p w14:paraId="3DFEC5E0" w14:textId="5C5E172A" w:rsidR="00506FCE" w:rsidRDefault="00540688" w:rsidP="00E45DA0">
      <w:pPr>
        <w:spacing w:before="120"/>
        <w:ind w:firstLine="567"/>
        <w:jc w:val="both"/>
      </w:pPr>
      <w:r>
        <w:t>T</w:t>
      </w:r>
      <w:r w:rsidR="00291CA9" w:rsidRPr="00291CA9">
        <w:t>he population density</w:t>
      </w:r>
      <w:r>
        <w:t xml:space="preserve"> (KP)</w:t>
      </w:r>
      <w:r w:rsidR="00291CA9" w:rsidRPr="00291CA9">
        <w:t xml:space="preserve"> variable significantly and positively influence</w:t>
      </w:r>
      <w:r w:rsidR="00C75D0D">
        <w:t>d</w:t>
      </w:r>
      <w:r w:rsidR="00291CA9" w:rsidRPr="00291CA9">
        <w:t xml:space="preserve"> income inequality in East Java Province in 2013-2017. A parallel study was conducted by </w:t>
      </w:r>
      <w:proofErr w:type="spellStart"/>
      <w:r w:rsidR="00291CA9" w:rsidRPr="00291CA9">
        <w:t>Matondang</w:t>
      </w:r>
      <w:proofErr w:type="spellEnd"/>
      <w:r w:rsidR="00291CA9" w:rsidRPr="00291CA9">
        <w:t xml:space="preserve"> (2018) that population density is one factor that can increase inequality in income distribution. Population densities that are increasingly dense or continue to increase </w:t>
      </w:r>
      <w:r>
        <w:t>decrease</w:t>
      </w:r>
      <w:r w:rsidR="00291CA9" w:rsidRPr="00291CA9">
        <w:t xml:space="preserve"> income per capita and causing inequality conditions increasingly lame.</w:t>
      </w:r>
    </w:p>
    <w:p w14:paraId="1FB4EB7D" w14:textId="7B59E72E" w:rsidR="00506FCE" w:rsidRDefault="00540688" w:rsidP="00E2401A">
      <w:pPr>
        <w:ind w:firstLine="567"/>
        <w:jc w:val="both"/>
      </w:pPr>
      <w:r>
        <w:t>T</w:t>
      </w:r>
      <w:r w:rsidR="00291CA9" w:rsidRPr="00291CA9">
        <w:t>he poverty</w:t>
      </w:r>
      <w:r>
        <w:t xml:space="preserve"> (</w:t>
      </w:r>
      <w:proofErr w:type="gramStart"/>
      <w:r>
        <w:t>PM)</w:t>
      </w:r>
      <w:r w:rsidR="00291CA9" w:rsidRPr="00291CA9">
        <w:t xml:space="preserve">  significantly</w:t>
      </w:r>
      <w:proofErr w:type="gramEnd"/>
      <w:r w:rsidR="00291CA9" w:rsidRPr="00291CA9">
        <w:t xml:space="preserve"> and positively influence</w:t>
      </w:r>
      <w:r w:rsidR="00C75D0D">
        <w:t>d</w:t>
      </w:r>
      <w:r w:rsidR="00291CA9" w:rsidRPr="00291CA9">
        <w:t xml:space="preserve"> </w:t>
      </w:r>
      <w:r w:rsidR="00C75D0D">
        <w:t>East Java Province's income inequality</w:t>
      </w:r>
      <w:r w:rsidR="00291CA9" w:rsidRPr="00291CA9">
        <w:t xml:space="preserve"> in 2013-2017. The results are </w:t>
      </w:r>
      <w:r>
        <w:t>following</w:t>
      </w:r>
      <w:r w:rsidR="00291CA9" w:rsidRPr="00291CA9">
        <w:t xml:space="preserve"> </w:t>
      </w:r>
      <w:r w:rsidR="00A54581">
        <w:t xml:space="preserve">research by Ahmad &amp; </w:t>
      </w:r>
      <w:proofErr w:type="spellStart"/>
      <w:r w:rsidR="00A54581">
        <w:t>Triani</w:t>
      </w:r>
      <w:proofErr w:type="spellEnd"/>
      <w:r w:rsidR="00A54581">
        <w:t xml:space="preserve"> (2019) </w:t>
      </w:r>
      <w:r w:rsidR="00291CA9" w:rsidRPr="00291CA9">
        <w:t xml:space="preserve">and </w:t>
      </w:r>
      <w:proofErr w:type="spellStart"/>
      <w:r w:rsidR="00291CA9" w:rsidRPr="00291CA9">
        <w:t>Prastowo</w:t>
      </w:r>
      <w:proofErr w:type="spellEnd"/>
      <w:r w:rsidR="00291CA9" w:rsidRPr="00291CA9">
        <w:t xml:space="preserve"> (2018)</w:t>
      </w:r>
      <w:r w:rsidR="00C75D0D">
        <w:t>,</w:t>
      </w:r>
      <w:r w:rsidR="00291CA9" w:rsidRPr="00291CA9">
        <w:t xml:space="preserve"> who found that poverty has a positive and significant effect on income inequality. Poverty is closely related to income inequality</w:t>
      </w:r>
      <w:r w:rsidR="00BB6278">
        <w:t>. Income inequality occurs due to the unequal distribution of community income between high-income</w:t>
      </w:r>
      <w:r w:rsidR="00291CA9" w:rsidRPr="00291CA9">
        <w:t xml:space="preserve"> and low-income groups and the level of poverty or the number of people below the poverty line (</w:t>
      </w:r>
      <w:proofErr w:type="spellStart"/>
      <w:r w:rsidR="00291CA9" w:rsidRPr="00291CA9">
        <w:t>Tambunan</w:t>
      </w:r>
      <w:proofErr w:type="spellEnd"/>
      <w:r w:rsidR="00291CA9" w:rsidRPr="00291CA9">
        <w:t>, 2001).</w:t>
      </w:r>
    </w:p>
    <w:p w14:paraId="6EB529E3" w14:textId="663E0A55" w:rsidR="00506FCE" w:rsidRDefault="00540688" w:rsidP="00E2401A">
      <w:pPr>
        <w:ind w:firstLine="567"/>
        <w:jc w:val="both"/>
      </w:pPr>
      <w:r>
        <w:t>T</w:t>
      </w:r>
      <w:r w:rsidR="004E6C90" w:rsidRPr="004E6C90">
        <w:t xml:space="preserve">he unemployment </w:t>
      </w:r>
      <w:r>
        <w:t>(TPT)</w:t>
      </w:r>
      <w:r w:rsidR="004E6C90" w:rsidRPr="004E6C90">
        <w:t xml:space="preserve"> has a positive and not significant effect on </w:t>
      </w:r>
      <w:r w:rsidR="00C75D0D">
        <w:t>East Java Province's income inequality</w:t>
      </w:r>
      <w:r w:rsidR="004E6C90" w:rsidRPr="004E6C90">
        <w:t xml:space="preserve"> in 2013-2017. The unemployment rate is not affected because the open unemployment rate in 38 districts</w:t>
      </w:r>
      <w:r w:rsidR="00C75D0D">
        <w:t>/</w:t>
      </w:r>
      <w:r w:rsidR="004E6C90" w:rsidRPr="004E6C90">
        <w:t>cities in East Java is relatively low</w:t>
      </w:r>
      <w:r w:rsidR="00C75D0D">
        <w:t>, affecting</w:t>
      </w:r>
      <w:r w:rsidR="004E6C90" w:rsidRPr="004E6C90">
        <w:t xml:space="preserve"> income inequality (</w:t>
      </w:r>
      <w:proofErr w:type="spellStart"/>
      <w:r w:rsidR="004E6C90" w:rsidRPr="004E6C90">
        <w:t>Hariani</w:t>
      </w:r>
      <w:proofErr w:type="spellEnd"/>
      <w:r w:rsidR="004E6C90" w:rsidRPr="004E6C90">
        <w:t xml:space="preserve">, 2019). </w:t>
      </w:r>
      <w:r w:rsidR="00BB6278">
        <w:t>Proper</w:t>
      </w:r>
      <w:r w:rsidR="004E6C90" w:rsidRPr="004E6C90">
        <w:t xml:space="preserve"> researc</w:t>
      </w:r>
      <w:r w:rsidR="00A02E68">
        <w:t xml:space="preserve">h conducted by </w:t>
      </w:r>
      <w:proofErr w:type="spellStart"/>
      <w:r w:rsidR="00A02E68">
        <w:t>Hindun</w:t>
      </w:r>
      <w:proofErr w:type="spellEnd"/>
      <w:r w:rsidR="00A02E68">
        <w:t xml:space="preserve">, </w:t>
      </w:r>
      <w:proofErr w:type="spellStart"/>
      <w:r w:rsidR="00A02E68">
        <w:t>Ady</w:t>
      </w:r>
      <w:proofErr w:type="spellEnd"/>
      <w:r w:rsidR="00A02E68">
        <w:t xml:space="preserve">, &amp; </w:t>
      </w:r>
      <w:proofErr w:type="spellStart"/>
      <w:r w:rsidR="004E6C90" w:rsidRPr="004E6C90">
        <w:t>Hariyati</w:t>
      </w:r>
      <w:proofErr w:type="spellEnd"/>
      <w:r w:rsidR="004E6C90" w:rsidRPr="004E6C90">
        <w:t xml:space="preserve"> (2019) states that unemployment </w:t>
      </w:r>
      <w:r w:rsidR="00C75D0D">
        <w:t>does not affect</w:t>
      </w:r>
      <w:r w:rsidR="004E6C90" w:rsidRPr="004E6C90">
        <w:t xml:space="preserve"> </w:t>
      </w:r>
      <w:r w:rsidR="00C75D0D">
        <w:t>Indonesia's income inequality</w:t>
      </w:r>
      <w:r w:rsidR="004E6C90" w:rsidRPr="004E6C90">
        <w:t>.</w:t>
      </w:r>
    </w:p>
    <w:p w14:paraId="4242096F" w14:textId="77777777" w:rsidR="00E2401A" w:rsidRDefault="00E2401A" w:rsidP="00E2401A">
      <w:pPr>
        <w:ind w:firstLine="567"/>
        <w:jc w:val="both"/>
      </w:pPr>
    </w:p>
    <w:p w14:paraId="3714EBC4" w14:textId="19E11A72" w:rsidR="00506FCE" w:rsidRDefault="00085D2B" w:rsidP="00E2401A">
      <w:pPr>
        <w:jc w:val="both"/>
        <w:rPr>
          <w:b/>
        </w:rPr>
      </w:pPr>
      <w:r>
        <w:rPr>
          <w:b/>
        </w:rPr>
        <w:t>CONCLUSIONS</w:t>
      </w:r>
      <w:r w:rsidR="00755551">
        <w:rPr>
          <w:b/>
        </w:rPr>
        <w:t xml:space="preserve"> AND</w:t>
      </w:r>
      <w:r>
        <w:rPr>
          <w:b/>
        </w:rPr>
        <w:t xml:space="preserve"> RECOMMENDATIONS </w:t>
      </w:r>
    </w:p>
    <w:p w14:paraId="38A5933F" w14:textId="77777777" w:rsidR="00506FCE" w:rsidRDefault="00085D2B" w:rsidP="00E2401A">
      <w:pPr>
        <w:spacing w:before="120"/>
        <w:jc w:val="both"/>
        <w:rPr>
          <w:b/>
        </w:rPr>
      </w:pPr>
      <w:r>
        <w:rPr>
          <w:b/>
        </w:rPr>
        <w:t>Conclusions</w:t>
      </w:r>
    </w:p>
    <w:p w14:paraId="430EB7F2" w14:textId="09DBD5B8" w:rsidR="00962C20" w:rsidRDefault="00E4010C" w:rsidP="00C1005A">
      <w:pPr>
        <w:ind w:firstLine="567"/>
        <w:jc w:val="both"/>
      </w:pPr>
      <w:r w:rsidRPr="00E4010C">
        <w:t>This study proposes to examine the impact of financial sector development and regional characteristics on income inequality in East Java Province. The estimation show</w:t>
      </w:r>
      <w:r w:rsidR="00015617">
        <w:t>s</w:t>
      </w:r>
      <w:r w:rsidRPr="00E4010C">
        <w:t xml:space="preserve"> that the development of the financial sector, which is proxied by the ratio of credit per GDRP, the ratio of assets per GDRP, and the ratio of three-party funds per GDRP</w:t>
      </w:r>
      <w:r w:rsidR="00264B94">
        <w:t>,</w:t>
      </w:r>
      <w:r w:rsidRPr="00E4010C">
        <w:t xml:space="preserve"> has a negative and significant effect on income inequality in East Java Province. </w:t>
      </w:r>
    </w:p>
    <w:p w14:paraId="26B39383" w14:textId="6573F4CA" w:rsidR="00E4010C" w:rsidRDefault="00E4010C" w:rsidP="00C1005A">
      <w:pPr>
        <w:ind w:firstLine="567"/>
        <w:jc w:val="both"/>
      </w:pPr>
      <w:r w:rsidRPr="00E4010C">
        <w:t xml:space="preserve">For regional characteristic factors, it is determined that new things from the APBD variable have a significant positive effect but are not following the hypothesis. Because East Java Province has an unequal portion of local revenue, around 37 percent of the APBD is used for personnel expenditure, while only about 20 percent for capital expenditure. This distribution makes the budget for regional economic development to occur the lowest, making it difficult to improve people's welfare and increase inequality. </w:t>
      </w:r>
    </w:p>
    <w:p w14:paraId="522EBED6" w14:textId="46453DD5" w:rsidR="00E4010C" w:rsidRDefault="00E4010C" w:rsidP="00C1005A">
      <w:pPr>
        <w:ind w:firstLine="567"/>
        <w:jc w:val="both"/>
      </w:pPr>
      <w:r w:rsidRPr="00E4010C">
        <w:t>Population density and poverty variables have a positive and significant effect on income inequality in East Java Province. However, the unemployment variable does not affect income inequality in East Java Province because the open unemployment rate in 38 districts/cities of East Java is relatively low, affecting income inequality.</w:t>
      </w:r>
    </w:p>
    <w:p w14:paraId="733B112C" w14:textId="77777777" w:rsidR="00506FCE" w:rsidRDefault="00085D2B" w:rsidP="00C1005A">
      <w:pPr>
        <w:spacing w:before="120"/>
        <w:jc w:val="both"/>
        <w:rPr>
          <w:b/>
        </w:rPr>
      </w:pPr>
      <w:r>
        <w:rPr>
          <w:b/>
        </w:rPr>
        <w:t>Recommendations</w:t>
      </w:r>
    </w:p>
    <w:p w14:paraId="3C0EC76F" w14:textId="77777777" w:rsidR="008B7EF3" w:rsidRDefault="008B7EF3" w:rsidP="00C1005A">
      <w:pPr>
        <w:ind w:firstLine="567"/>
        <w:jc w:val="both"/>
      </w:pPr>
      <w:r>
        <w:t>Income inequality is still a problem that is usually handled by a country and even in regional areas. To mitigate inequality, developing the financial sector, especially banking, is very important because of its affordability in society. With easy access, people can receive credit and investment to encourage economic improvement, improve income, and are also supposed to succeed in income inequality. The government must also give more attention to regional characteristic factors such as regional income, population density, poverty, and unemployment, affecting income inequality. It is expected that the government's policies will be more cautious so that inequality can be decreased.</w:t>
      </w:r>
    </w:p>
    <w:p w14:paraId="244C6583" w14:textId="7672A4BB" w:rsidR="00A634D9" w:rsidRDefault="00A634D9" w:rsidP="00C1005A">
      <w:pPr>
        <w:ind w:firstLine="567"/>
        <w:jc w:val="both"/>
      </w:pPr>
      <w:r w:rsidRPr="00507AE6">
        <w:t>This study has several conditions, the shortage of literature on the banking financial sector's development variables, such as assets and third-party banking funds. Also, research only reaches in 2017 because the latest available data is not available until 2019. So that in forthcoming studies, it is better to utilize other income inequality notices such as the Williamson Index and Inflation Rate. Furthermore, it can additionally include more variable independent variables, such as government social assistance programs. Furthermore, we can apply different methods to achieve more conclusive results.</w:t>
      </w:r>
    </w:p>
    <w:p w14:paraId="04578CF2" w14:textId="77777777" w:rsidR="00C1005A" w:rsidRPr="00507AE6" w:rsidRDefault="00C1005A" w:rsidP="00E2401A">
      <w:pPr>
        <w:ind w:firstLine="720"/>
        <w:jc w:val="both"/>
      </w:pPr>
    </w:p>
    <w:p w14:paraId="21DF2829" w14:textId="4BCFF7C2" w:rsidR="00A634D9" w:rsidRPr="00A634D9" w:rsidRDefault="00E2401A" w:rsidP="00E2401A">
      <w:pPr>
        <w:jc w:val="both"/>
        <w:rPr>
          <w:b/>
        </w:rPr>
      </w:pPr>
      <w:r w:rsidRPr="00A634D9">
        <w:rPr>
          <w:b/>
        </w:rPr>
        <w:t>ACKNOWLEDGMENT</w:t>
      </w:r>
    </w:p>
    <w:p w14:paraId="09147102" w14:textId="535298AC" w:rsidR="00507AE6" w:rsidRDefault="00A634D9" w:rsidP="00C1005A">
      <w:pPr>
        <w:ind w:firstLine="567"/>
        <w:jc w:val="both"/>
      </w:pPr>
      <w:r w:rsidRPr="00507AE6">
        <w:t>This publication supported research support from the Bank Indonesia Institute within the Bank Indonesia Institute Research Assistance Program, Bank Indonesia Institute (BINS).</w:t>
      </w:r>
    </w:p>
    <w:p w14:paraId="35F2B50D" w14:textId="77777777" w:rsidR="00FD0A27" w:rsidRDefault="00FD0A27" w:rsidP="00C1005A">
      <w:pPr>
        <w:ind w:firstLine="567"/>
        <w:jc w:val="both"/>
      </w:pPr>
    </w:p>
    <w:p w14:paraId="64EB2E30" w14:textId="0460AA51" w:rsidR="00506FCE" w:rsidRDefault="00085D2B" w:rsidP="00E2401A">
      <w:pPr>
        <w:jc w:val="both"/>
        <w:rPr>
          <w:b/>
        </w:rPr>
      </w:pPr>
      <w:r>
        <w:rPr>
          <w:b/>
        </w:rPr>
        <w:t>REFERENCE</w:t>
      </w:r>
      <w:r w:rsidR="00E2401A">
        <w:rPr>
          <w:b/>
        </w:rPr>
        <w:t>S</w:t>
      </w:r>
    </w:p>
    <w:p w14:paraId="2D57E28C" w14:textId="6935924C" w:rsidR="00506FCE" w:rsidRPr="00793662" w:rsidRDefault="00A54581" w:rsidP="00C1005A">
      <w:pPr>
        <w:ind w:left="567" w:hanging="567"/>
        <w:jc w:val="both"/>
        <w:rPr>
          <w:noProof/>
        </w:rPr>
      </w:pPr>
      <w:r>
        <w:rPr>
          <w:noProof/>
        </w:rPr>
        <w:t>Ahmad, D., &amp; Triani, M. (2019</w:t>
      </w:r>
      <w:r w:rsidR="00506FCE" w:rsidRPr="00793662">
        <w:rPr>
          <w:noProof/>
        </w:rPr>
        <w:t xml:space="preserve">). Analisis Kausalitas Antara Kemiskinan, Ketimpangan Pendapatan dan Tingkat Pendidikan di Provinsi Sumatera Barat. </w:t>
      </w:r>
      <w:r w:rsidRPr="00A54581">
        <w:rPr>
          <w:i/>
          <w:noProof/>
        </w:rPr>
        <w:t>Jur</w:t>
      </w:r>
      <w:r>
        <w:rPr>
          <w:i/>
          <w:iCs/>
          <w:noProof/>
        </w:rPr>
        <w:t xml:space="preserve">nal </w:t>
      </w:r>
      <w:r w:rsidR="00506FCE" w:rsidRPr="00793662">
        <w:rPr>
          <w:i/>
          <w:iCs/>
          <w:noProof/>
        </w:rPr>
        <w:t>EcoGen</w:t>
      </w:r>
      <w:r w:rsidR="00506FCE" w:rsidRPr="00793662">
        <w:rPr>
          <w:noProof/>
        </w:rPr>
        <w:t xml:space="preserve">, </w:t>
      </w:r>
      <w:r>
        <w:rPr>
          <w:i/>
          <w:iCs/>
          <w:noProof/>
        </w:rPr>
        <w:t>1</w:t>
      </w:r>
      <w:r w:rsidRPr="00A54581">
        <w:rPr>
          <w:iCs/>
          <w:noProof/>
        </w:rPr>
        <w:t>(</w:t>
      </w:r>
      <w:r>
        <w:rPr>
          <w:noProof/>
        </w:rPr>
        <w:t xml:space="preserve">3), </w:t>
      </w:r>
      <w:r w:rsidR="006443A5">
        <w:rPr>
          <w:noProof/>
        </w:rPr>
        <w:t>604–615</w:t>
      </w:r>
    </w:p>
    <w:p w14:paraId="1F9AD90C" w14:textId="71A543F8" w:rsidR="00506FCE" w:rsidRPr="001F5E30" w:rsidRDefault="00506FCE" w:rsidP="00C1005A">
      <w:pPr>
        <w:ind w:left="567" w:hanging="567"/>
        <w:jc w:val="both"/>
        <w:rPr>
          <w:noProof/>
        </w:rPr>
      </w:pPr>
      <w:r w:rsidRPr="001F5E30">
        <w:t>Allen</w:t>
      </w:r>
      <w:r w:rsidR="00FB61D9" w:rsidRPr="001F5E30">
        <w:t>,</w:t>
      </w:r>
      <w:r w:rsidRPr="001F5E30">
        <w:t xml:space="preserve"> F</w:t>
      </w:r>
      <w:r w:rsidR="00FB61D9" w:rsidRPr="001F5E30">
        <w:t xml:space="preserve">., </w:t>
      </w:r>
      <w:proofErr w:type="spellStart"/>
      <w:r w:rsidR="00FB61D9" w:rsidRPr="001F5E30">
        <w:t>Demirguc-Kunt</w:t>
      </w:r>
      <w:proofErr w:type="spellEnd"/>
      <w:r w:rsidR="00FB61D9" w:rsidRPr="001F5E30">
        <w:t xml:space="preserve">, </w:t>
      </w:r>
      <w:r w:rsidRPr="001F5E30">
        <w:t>A</w:t>
      </w:r>
      <w:r w:rsidR="00FB61D9" w:rsidRPr="001F5E30">
        <w:t xml:space="preserve">., </w:t>
      </w:r>
      <w:proofErr w:type="spellStart"/>
      <w:r w:rsidR="00FB61D9" w:rsidRPr="001F5E30">
        <w:t>Klapper</w:t>
      </w:r>
      <w:proofErr w:type="spellEnd"/>
      <w:r w:rsidR="00FB61D9" w:rsidRPr="001F5E30">
        <w:t xml:space="preserve">, </w:t>
      </w:r>
      <w:r w:rsidRPr="001F5E30">
        <w:t>L</w:t>
      </w:r>
      <w:r w:rsidR="00FB61D9" w:rsidRPr="001F5E30">
        <w:t>.</w:t>
      </w:r>
      <w:r w:rsidRPr="001F5E30">
        <w:t xml:space="preserve">, </w:t>
      </w:r>
      <w:r w:rsidR="00FB61D9" w:rsidRPr="001F5E30">
        <w:t xml:space="preserve">&amp; </w:t>
      </w:r>
      <w:proofErr w:type="spellStart"/>
      <w:r w:rsidRPr="001F5E30">
        <w:t>Peria</w:t>
      </w:r>
      <w:proofErr w:type="spellEnd"/>
      <w:r w:rsidR="00FB61D9" w:rsidRPr="001F5E30">
        <w:t xml:space="preserve">, </w:t>
      </w:r>
      <w:r w:rsidRPr="001F5E30">
        <w:t>M</w:t>
      </w:r>
      <w:r w:rsidR="00FB61D9" w:rsidRPr="001F5E30">
        <w:t xml:space="preserve">. </w:t>
      </w:r>
      <w:r w:rsidRPr="001F5E30">
        <w:t>S</w:t>
      </w:r>
      <w:r w:rsidR="00FB61D9" w:rsidRPr="001F5E30">
        <w:t xml:space="preserve">. </w:t>
      </w:r>
      <w:r w:rsidRPr="001F5E30">
        <w:t>M. (2012). The Foundations of Financial Inclusion: Understanding Ownership and Use of Formal Accounts. Development Research Group, Finance and P</w:t>
      </w:r>
      <w:r w:rsidR="00FB61D9" w:rsidRPr="001F5E30">
        <w:t xml:space="preserve">rivate Sector Development Team. </w:t>
      </w:r>
      <w:r w:rsidR="00FB61D9" w:rsidRPr="001F5E30">
        <w:rPr>
          <w:i/>
        </w:rPr>
        <w:lastRenderedPageBreak/>
        <w:t xml:space="preserve">World </w:t>
      </w:r>
      <w:r w:rsidR="0068232F" w:rsidRPr="001F5E30">
        <w:rPr>
          <w:i/>
        </w:rPr>
        <w:t>Bank</w:t>
      </w:r>
      <w:r w:rsidRPr="001F5E30">
        <w:rPr>
          <w:i/>
        </w:rPr>
        <w:t>: Working paper</w:t>
      </w:r>
      <w:r w:rsidRPr="001F5E30">
        <w:t xml:space="preserve"> No 6290.</w:t>
      </w:r>
      <w:r w:rsidR="00FB61D9" w:rsidRPr="001F5E30">
        <w:t xml:space="preserve"> </w:t>
      </w:r>
      <w:r w:rsidR="00FB61D9" w:rsidRPr="001F5E30">
        <w:rPr>
          <w:noProof/>
        </w:rPr>
        <w:t xml:space="preserve">Retrieved from </w:t>
      </w:r>
      <w:r w:rsidR="008C45D9" w:rsidRPr="00B33926">
        <w:rPr>
          <w:noProof/>
        </w:rPr>
        <w:t>https://openknowledge</w:t>
      </w:r>
      <w:r w:rsidR="00AF1D62" w:rsidRPr="001F5E30">
        <w:rPr>
          <w:noProof/>
        </w:rPr>
        <w:t>.</w:t>
      </w:r>
      <w:r w:rsidR="008C45D9">
        <w:rPr>
          <w:noProof/>
        </w:rPr>
        <w:t xml:space="preserve"> </w:t>
      </w:r>
      <w:r w:rsidR="00AF1D62" w:rsidRPr="001F5E30">
        <w:rPr>
          <w:noProof/>
        </w:rPr>
        <w:t>worldbank.org/bitstream</w:t>
      </w:r>
      <w:r w:rsidR="00B25DD9" w:rsidRPr="001F5E30">
        <w:rPr>
          <w:noProof/>
        </w:rPr>
        <w:t>/handle/10986/12203/wps6290.pd</w:t>
      </w:r>
      <w:r w:rsidR="00FB61D9" w:rsidRPr="001F5E30">
        <w:rPr>
          <w:noProof/>
        </w:rPr>
        <w:t>f</w:t>
      </w:r>
    </w:p>
    <w:p w14:paraId="12856014" w14:textId="77777777" w:rsidR="00506FCE" w:rsidRPr="001F5E30" w:rsidRDefault="00506FCE" w:rsidP="00C1005A">
      <w:pPr>
        <w:adjustRightInd w:val="0"/>
        <w:ind w:left="567" w:hanging="567"/>
        <w:jc w:val="both"/>
        <w:rPr>
          <w:noProof/>
        </w:rPr>
      </w:pPr>
      <w:r w:rsidRPr="001F5E30">
        <w:rPr>
          <w:noProof/>
        </w:rPr>
        <w:t>Bagehot, W. (1873). Lombard Street: A Description of the Money Market, 173. https://doi.org/10.2307/2551414</w:t>
      </w:r>
    </w:p>
    <w:p w14:paraId="423E179E" w14:textId="36E45EAD" w:rsidR="00B25DD9" w:rsidRPr="001F5E30" w:rsidRDefault="00B25DD9" w:rsidP="00B25DD9">
      <w:pPr>
        <w:adjustRightInd w:val="0"/>
        <w:ind w:left="567" w:hanging="567"/>
        <w:jc w:val="both"/>
        <w:rPr>
          <w:noProof/>
        </w:rPr>
      </w:pPr>
      <w:r w:rsidRPr="001F5E30">
        <w:t>Bahmani-</w:t>
      </w:r>
      <w:proofErr w:type="spellStart"/>
      <w:r w:rsidRPr="001F5E30">
        <w:t>Oskosoee</w:t>
      </w:r>
      <w:proofErr w:type="spellEnd"/>
      <w:r w:rsidRPr="001F5E30">
        <w:t xml:space="preserve">, M., &amp; Zhang, R. (2014). On The Impact of Financial Development on Income Distribution: Time-Series Evidence. </w:t>
      </w:r>
      <w:r w:rsidRPr="001F5E30">
        <w:rPr>
          <w:i/>
          <w:iCs/>
        </w:rPr>
        <w:t>Applied Economic</w:t>
      </w:r>
      <w:r w:rsidRPr="001F5E30">
        <w:t xml:space="preserve">, 47(12), 1248 </w:t>
      </w:r>
      <w:r w:rsidR="0041207E" w:rsidRPr="001F5E30">
        <w:t>–</w:t>
      </w:r>
      <w:r w:rsidRPr="001F5E30">
        <w:t xml:space="preserve"> 1271</w:t>
      </w:r>
    </w:p>
    <w:p w14:paraId="21C39404" w14:textId="097069FD" w:rsidR="00506FCE" w:rsidRPr="001F5E30" w:rsidRDefault="00506FCE" w:rsidP="00C1005A">
      <w:pPr>
        <w:ind w:left="567" w:hanging="567"/>
        <w:jc w:val="both"/>
        <w:rPr>
          <w:noProof/>
        </w:rPr>
      </w:pPr>
      <w:r w:rsidRPr="001F5E30">
        <w:rPr>
          <w:noProof/>
        </w:rPr>
        <w:t xml:space="preserve">Baltagi, B. H. (2005). </w:t>
      </w:r>
      <w:r w:rsidRPr="001F5E30">
        <w:rPr>
          <w:i/>
          <w:iCs/>
          <w:noProof/>
        </w:rPr>
        <w:t>Econometric Analysis of Panel Data</w:t>
      </w:r>
      <w:r w:rsidRPr="001F5E30">
        <w:rPr>
          <w:noProof/>
        </w:rPr>
        <w:t xml:space="preserve"> (Vol. 3). Retrieved from </w:t>
      </w:r>
      <w:hyperlink r:id="rId9" w:history="1">
        <w:r w:rsidRPr="001F5E30">
          <w:rPr>
            <w:rStyle w:val="Hyperlink"/>
            <w:noProof/>
            <w:color w:val="auto"/>
            <w:u w:val="none"/>
          </w:rPr>
          <w:t>http://repositorio.unan.edu.ni/2986/1/5624.pdf</w:t>
        </w:r>
      </w:hyperlink>
    </w:p>
    <w:p w14:paraId="6712327F" w14:textId="3891CEAB" w:rsidR="00506FCE" w:rsidRPr="001F5E30" w:rsidRDefault="00506FCE" w:rsidP="00C1005A">
      <w:pPr>
        <w:ind w:left="567" w:hanging="567"/>
        <w:jc w:val="both"/>
        <w:rPr>
          <w:noProof/>
        </w:rPr>
      </w:pPr>
      <w:r w:rsidRPr="001F5E30">
        <w:rPr>
          <w:noProof/>
        </w:rPr>
        <w:t xml:space="preserve">Bank Indonesia. </w:t>
      </w:r>
      <w:r w:rsidR="005D04D3" w:rsidRPr="001F5E30">
        <w:rPr>
          <w:noProof/>
        </w:rPr>
        <w:t>(</w:t>
      </w:r>
      <w:r w:rsidRPr="001F5E30">
        <w:rPr>
          <w:noProof/>
        </w:rPr>
        <w:t>2015</w:t>
      </w:r>
      <w:r w:rsidR="005D04D3" w:rsidRPr="001F5E30">
        <w:rPr>
          <w:noProof/>
        </w:rPr>
        <w:t>)</w:t>
      </w:r>
      <w:r w:rsidRPr="001F5E30">
        <w:rPr>
          <w:noProof/>
        </w:rPr>
        <w:t xml:space="preserve">. </w:t>
      </w:r>
      <w:proofErr w:type="spellStart"/>
      <w:r w:rsidRPr="001F5E30">
        <w:rPr>
          <w:i/>
        </w:rPr>
        <w:t>Indikator</w:t>
      </w:r>
      <w:proofErr w:type="spellEnd"/>
      <w:r w:rsidRPr="001F5E30">
        <w:rPr>
          <w:i/>
        </w:rPr>
        <w:t xml:space="preserve"> </w:t>
      </w:r>
      <w:proofErr w:type="spellStart"/>
      <w:r w:rsidRPr="001F5E30">
        <w:rPr>
          <w:i/>
        </w:rPr>
        <w:t>Keuangan</w:t>
      </w:r>
      <w:proofErr w:type="spellEnd"/>
      <w:r w:rsidRPr="001F5E30">
        <w:rPr>
          <w:i/>
        </w:rPr>
        <w:t xml:space="preserve"> </w:t>
      </w:r>
      <w:proofErr w:type="spellStart"/>
      <w:r w:rsidRPr="001F5E30">
        <w:rPr>
          <w:i/>
        </w:rPr>
        <w:t>Inklusif</w:t>
      </w:r>
      <w:proofErr w:type="spellEnd"/>
      <w:r w:rsidRPr="001F5E30">
        <w:rPr>
          <w:i/>
        </w:rPr>
        <w:t xml:space="preserve">. </w:t>
      </w:r>
      <w:r w:rsidR="00F26BD7" w:rsidRPr="001F5E30">
        <w:rPr>
          <w:iCs/>
        </w:rPr>
        <w:t>Retrieved from:</w:t>
      </w:r>
      <w:r w:rsidR="00F26BD7" w:rsidRPr="001F5E30">
        <w:rPr>
          <w:i/>
        </w:rPr>
        <w:t xml:space="preserve"> </w:t>
      </w:r>
      <w:r w:rsidR="00F26BD7" w:rsidRPr="001F5E30">
        <w:t>https://www.bi.go.id/id/statistik/metadata/SSKI/Documents/Indikator%20Keuangan%20Inklusif.pdf</w:t>
      </w:r>
    </w:p>
    <w:p w14:paraId="40281232" w14:textId="116EBBB0" w:rsidR="00506FCE" w:rsidRPr="001F5E30" w:rsidRDefault="00FB61D9" w:rsidP="00C1005A">
      <w:pPr>
        <w:ind w:left="567" w:hanging="567"/>
        <w:jc w:val="both"/>
      </w:pPr>
      <w:r w:rsidRPr="001F5E30">
        <w:t xml:space="preserve">Beck, T., </w:t>
      </w:r>
      <w:proofErr w:type="spellStart"/>
      <w:r w:rsidR="00506FCE" w:rsidRPr="001F5E30">
        <w:t>Demirguc-Kunt</w:t>
      </w:r>
      <w:proofErr w:type="spellEnd"/>
      <w:r w:rsidR="00506FCE" w:rsidRPr="001F5E30">
        <w:t xml:space="preserve">, </w:t>
      </w:r>
      <w:r w:rsidRPr="001F5E30">
        <w:t xml:space="preserve">A., </w:t>
      </w:r>
      <w:r w:rsidR="00485E61" w:rsidRPr="001F5E30">
        <w:t>&amp;</w:t>
      </w:r>
      <w:r w:rsidRPr="001F5E30">
        <w:t xml:space="preserve"> Ross Levine, R.</w:t>
      </w:r>
      <w:r w:rsidR="00506FCE" w:rsidRPr="001F5E30">
        <w:t xml:space="preserve"> (2004). Finance, Inequality and Poverty: Cross-Cross Country Evidence. </w:t>
      </w:r>
      <w:r w:rsidR="00C976FF" w:rsidRPr="001F5E30">
        <w:rPr>
          <w:i/>
        </w:rPr>
        <w:t>NBER W</w:t>
      </w:r>
      <w:r w:rsidR="00506FCE" w:rsidRPr="001F5E30">
        <w:rPr>
          <w:i/>
        </w:rPr>
        <w:t>orking Pape</w:t>
      </w:r>
      <w:r w:rsidR="00C976FF" w:rsidRPr="001F5E30">
        <w:rPr>
          <w:i/>
        </w:rPr>
        <w:t>r No. 10979</w:t>
      </w:r>
      <w:r w:rsidR="00506FCE" w:rsidRPr="001F5E30">
        <w:t xml:space="preserve">. </w:t>
      </w:r>
      <w:r w:rsidR="00C976FF" w:rsidRPr="001F5E30">
        <w:rPr>
          <w:noProof/>
        </w:rPr>
        <w:t xml:space="preserve">Retrieved from </w:t>
      </w:r>
      <w:hyperlink r:id="rId10" w:history="1">
        <w:r w:rsidR="00C976FF" w:rsidRPr="001F5E30">
          <w:rPr>
            <w:rStyle w:val="Hyperlink"/>
            <w:color w:val="auto"/>
            <w:u w:val="none"/>
          </w:rPr>
          <w:t>https://www.nber.org/papers/w10979.pdf</w:t>
        </w:r>
      </w:hyperlink>
    </w:p>
    <w:p w14:paraId="5C4EDCC2" w14:textId="2A8FA849" w:rsidR="00F249C3" w:rsidRPr="001F5E30" w:rsidRDefault="00F249C3" w:rsidP="00C1005A">
      <w:pPr>
        <w:ind w:left="567" w:hanging="567"/>
        <w:jc w:val="both"/>
        <w:rPr>
          <w:noProof/>
        </w:rPr>
      </w:pPr>
      <w:r w:rsidRPr="001F5E30">
        <w:rPr>
          <w:color w:val="222222"/>
          <w:shd w:val="clear" w:color="auto" w:fill="FFFFFF"/>
        </w:rPr>
        <w:t xml:space="preserve">Chatterjee, S., &amp; </w:t>
      </w:r>
      <w:proofErr w:type="spellStart"/>
      <w:r w:rsidRPr="001F5E30">
        <w:rPr>
          <w:color w:val="222222"/>
          <w:shd w:val="clear" w:color="auto" w:fill="FFFFFF"/>
        </w:rPr>
        <w:t>Hadi</w:t>
      </w:r>
      <w:proofErr w:type="spellEnd"/>
      <w:r w:rsidRPr="001F5E30">
        <w:rPr>
          <w:color w:val="222222"/>
          <w:shd w:val="clear" w:color="auto" w:fill="FFFFFF"/>
        </w:rPr>
        <w:t>, A. S. (2015). </w:t>
      </w:r>
      <w:r w:rsidRPr="001F5E30">
        <w:rPr>
          <w:i/>
          <w:iCs/>
          <w:color w:val="222222"/>
          <w:shd w:val="clear" w:color="auto" w:fill="FFFFFF"/>
        </w:rPr>
        <w:t>Regression analysis by example</w:t>
      </w:r>
      <w:r w:rsidRPr="001F5E30">
        <w:rPr>
          <w:color w:val="222222"/>
          <w:shd w:val="clear" w:color="auto" w:fill="FFFFFF"/>
        </w:rPr>
        <w:t>. John Wiley &amp; Sons.</w:t>
      </w:r>
    </w:p>
    <w:p w14:paraId="30921E21" w14:textId="7F581302" w:rsidR="00C93B53" w:rsidRPr="001F5E30" w:rsidRDefault="00526091" w:rsidP="00C1005A">
      <w:pPr>
        <w:ind w:left="567" w:hanging="567"/>
        <w:jc w:val="both"/>
        <w:rPr>
          <w:noProof/>
        </w:rPr>
      </w:pPr>
      <w:r w:rsidRPr="001F5E30">
        <w:rPr>
          <w:noProof/>
        </w:rPr>
        <w:t xml:space="preserve">Clarke, G. R., Xu, L. C., &amp; Zou, H. F. (2006). Finance and income inequality: what do the data tell us?. </w:t>
      </w:r>
      <w:r w:rsidRPr="001F5E30">
        <w:rPr>
          <w:i/>
          <w:noProof/>
        </w:rPr>
        <w:t>Southern Economic Journal, 72</w:t>
      </w:r>
      <w:r w:rsidRPr="001F5E30">
        <w:rPr>
          <w:noProof/>
        </w:rPr>
        <w:t>(3), 578-596</w:t>
      </w:r>
    </w:p>
    <w:p w14:paraId="5877DB16" w14:textId="5B99A66A" w:rsidR="00506FCE" w:rsidRPr="001F5E30" w:rsidRDefault="00506FCE" w:rsidP="00C1005A">
      <w:pPr>
        <w:ind w:left="567" w:hanging="567"/>
        <w:jc w:val="both"/>
        <w:rPr>
          <w:noProof/>
        </w:rPr>
      </w:pPr>
      <w:r w:rsidRPr="001F5E30">
        <w:rPr>
          <w:noProof/>
        </w:rPr>
        <w:t xml:space="preserve">Deyshappriya, N. P. R. (2017). </w:t>
      </w:r>
      <w:r w:rsidRPr="001F5E30">
        <w:rPr>
          <w:i/>
          <w:iCs/>
          <w:noProof/>
        </w:rPr>
        <w:t>Impact of Macroeconomic Factors on Income Inequality and Income Distribution in Asian Countries</w:t>
      </w:r>
      <w:r w:rsidRPr="001F5E30">
        <w:rPr>
          <w:noProof/>
        </w:rPr>
        <w:t xml:space="preserve">. Retrieved from </w:t>
      </w:r>
      <w:hyperlink r:id="rId11" w:history="1">
        <w:r w:rsidRPr="001F5E30">
          <w:rPr>
            <w:rStyle w:val="Hyperlink"/>
            <w:noProof/>
            <w:color w:val="auto"/>
            <w:u w:val="none"/>
          </w:rPr>
          <w:t>https://www.adb.org/publications/impact-macroeconomic-factors-income-inequality-distribution</w:t>
        </w:r>
      </w:hyperlink>
    </w:p>
    <w:p w14:paraId="424E54AF" w14:textId="28C0B453" w:rsidR="00506FCE" w:rsidRPr="001F5E30" w:rsidRDefault="00506FCE" w:rsidP="00C1005A">
      <w:pPr>
        <w:adjustRightInd w:val="0"/>
        <w:ind w:left="567" w:hanging="567"/>
        <w:jc w:val="both"/>
        <w:rPr>
          <w:noProof/>
        </w:rPr>
      </w:pPr>
      <w:r w:rsidRPr="001F5E30">
        <w:rPr>
          <w:noProof/>
        </w:rPr>
        <w:t xml:space="preserve">Greenwood, J., &amp; Jovanovic, B. (1990). Financial Development, Growth, and the Distribution of Income. </w:t>
      </w:r>
      <w:r w:rsidRPr="001F5E30">
        <w:rPr>
          <w:i/>
          <w:iCs/>
          <w:noProof/>
        </w:rPr>
        <w:t>Journal of Political Economy</w:t>
      </w:r>
      <w:r w:rsidRPr="001F5E30">
        <w:rPr>
          <w:noProof/>
        </w:rPr>
        <w:t xml:space="preserve">, </w:t>
      </w:r>
      <w:r w:rsidRPr="001F5E30">
        <w:rPr>
          <w:i/>
          <w:iCs/>
          <w:noProof/>
        </w:rPr>
        <w:t>98</w:t>
      </w:r>
      <w:r w:rsidR="006443A5" w:rsidRPr="001F5E30">
        <w:rPr>
          <w:noProof/>
        </w:rPr>
        <w:t>(5), 1076–1107</w:t>
      </w:r>
    </w:p>
    <w:p w14:paraId="675DBDDE" w14:textId="32441946" w:rsidR="00506FCE" w:rsidRPr="001F5E30" w:rsidRDefault="00506FCE" w:rsidP="00C1005A">
      <w:pPr>
        <w:ind w:left="567" w:hanging="567"/>
        <w:jc w:val="both"/>
      </w:pPr>
      <w:proofErr w:type="spellStart"/>
      <w:r w:rsidRPr="001F5E30">
        <w:t>Hariani</w:t>
      </w:r>
      <w:proofErr w:type="spellEnd"/>
      <w:r w:rsidRPr="001F5E30">
        <w:t xml:space="preserve">, E. (2019). </w:t>
      </w:r>
      <w:proofErr w:type="spellStart"/>
      <w:r w:rsidRPr="001F5E30">
        <w:t>Analisis</w:t>
      </w:r>
      <w:proofErr w:type="spellEnd"/>
      <w:r w:rsidRPr="001F5E30">
        <w:t xml:space="preserve"> </w:t>
      </w:r>
      <w:proofErr w:type="spellStart"/>
      <w:r w:rsidRPr="001F5E30">
        <w:t>Faktor-Faktor</w:t>
      </w:r>
      <w:proofErr w:type="spellEnd"/>
      <w:r w:rsidRPr="001F5E30">
        <w:t xml:space="preserve"> yang </w:t>
      </w:r>
      <w:proofErr w:type="spellStart"/>
      <w:r w:rsidRPr="001F5E30">
        <w:t>Mempengaruhi</w:t>
      </w:r>
      <w:proofErr w:type="spellEnd"/>
      <w:r w:rsidRPr="001F5E30">
        <w:t xml:space="preserve"> </w:t>
      </w:r>
      <w:proofErr w:type="spellStart"/>
      <w:r w:rsidRPr="001F5E30">
        <w:t>Ketimpangan</w:t>
      </w:r>
      <w:proofErr w:type="spellEnd"/>
      <w:r w:rsidRPr="001F5E30">
        <w:t xml:space="preserve"> </w:t>
      </w:r>
      <w:proofErr w:type="spellStart"/>
      <w:r w:rsidRPr="001F5E30">
        <w:t>Pendapatan</w:t>
      </w:r>
      <w:proofErr w:type="spellEnd"/>
      <w:r w:rsidRPr="001F5E30">
        <w:t xml:space="preserve"> di 38 </w:t>
      </w:r>
      <w:proofErr w:type="spellStart"/>
      <w:r w:rsidRPr="001F5E30">
        <w:t>Kabupaten</w:t>
      </w:r>
      <w:proofErr w:type="spellEnd"/>
      <w:r w:rsidRPr="001F5E30">
        <w:t xml:space="preserve">/Kota </w:t>
      </w:r>
      <w:proofErr w:type="spellStart"/>
      <w:r w:rsidRPr="001F5E30">
        <w:t>Jawa</w:t>
      </w:r>
      <w:proofErr w:type="spellEnd"/>
      <w:r w:rsidRPr="001F5E30">
        <w:t xml:space="preserve"> Timur </w:t>
      </w:r>
      <w:proofErr w:type="spellStart"/>
      <w:r w:rsidRPr="001F5E30">
        <w:t>Tahun</w:t>
      </w:r>
      <w:proofErr w:type="spellEnd"/>
      <w:r w:rsidRPr="001F5E30">
        <w:t xml:space="preserve"> 2012-2015. </w:t>
      </w:r>
      <w:r w:rsidRPr="001F5E30">
        <w:rPr>
          <w:i/>
        </w:rPr>
        <w:t xml:space="preserve">The International Journal of Applied </w:t>
      </w:r>
      <w:proofErr w:type="spellStart"/>
      <w:r w:rsidRPr="001F5E30">
        <w:rPr>
          <w:i/>
        </w:rPr>
        <w:t>Bussines</w:t>
      </w:r>
      <w:proofErr w:type="spellEnd"/>
      <w:r w:rsidRPr="001F5E30">
        <w:rPr>
          <w:i/>
        </w:rPr>
        <w:t xml:space="preserve"> </w:t>
      </w:r>
      <w:proofErr w:type="spellStart"/>
      <w:r w:rsidRPr="001F5E30">
        <w:rPr>
          <w:i/>
        </w:rPr>
        <w:t>Tijab</w:t>
      </w:r>
      <w:proofErr w:type="spellEnd"/>
      <w:r w:rsidR="00485E61" w:rsidRPr="001F5E30">
        <w:rPr>
          <w:i/>
        </w:rPr>
        <w:t>,</w:t>
      </w:r>
      <w:r w:rsidRPr="001F5E30">
        <w:rPr>
          <w:i/>
        </w:rPr>
        <w:t xml:space="preserve"> 3</w:t>
      </w:r>
      <w:r w:rsidRPr="001F5E30">
        <w:t>(1)</w:t>
      </w:r>
      <w:r w:rsidR="00485E61" w:rsidRPr="001F5E30">
        <w:t xml:space="preserve">, 13 </w:t>
      </w:r>
      <w:r w:rsidR="0041207E" w:rsidRPr="001F5E30">
        <w:t>–</w:t>
      </w:r>
      <w:r w:rsidR="00485E61" w:rsidRPr="001F5E30">
        <w:t xml:space="preserve"> 23</w:t>
      </w:r>
      <w:r w:rsidR="0041207E" w:rsidRPr="001F5E30">
        <w:t>.</w:t>
      </w:r>
    </w:p>
    <w:p w14:paraId="1249E935" w14:textId="0C724313" w:rsidR="00506FCE" w:rsidRPr="001F5E30" w:rsidRDefault="00506FCE" w:rsidP="00C1005A">
      <w:pPr>
        <w:ind w:left="567" w:hanging="567"/>
        <w:jc w:val="both"/>
      </w:pPr>
      <w:proofErr w:type="spellStart"/>
      <w:r w:rsidRPr="001F5E30">
        <w:t>Hindun</w:t>
      </w:r>
      <w:proofErr w:type="spellEnd"/>
      <w:r w:rsidRPr="001F5E30">
        <w:t xml:space="preserve">, </w:t>
      </w:r>
      <w:r w:rsidR="00485E61" w:rsidRPr="001F5E30">
        <w:t xml:space="preserve">H., </w:t>
      </w:r>
      <w:proofErr w:type="spellStart"/>
      <w:r w:rsidRPr="001F5E30">
        <w:t>Soejoto</w:t>
      </w:r>
      <w:proofErr w:type="spellEnd"/>
      <w:r w:rsidRPr="001F5E30">
        <w:t>,</w:t>
      </w:r>
      <w:r w:rsidR="00485E61" w:rsidRPr="001F5E30">
        <w:t xml:space="preserve"> A., &amp;</w:t>
      </w:r>
      <w:r w:rsidRPr="001F5E30">
        <w:t xml:space="preserve"> </w:t>
      </w:r>
      <w:proofErr w:type="spellStart"/>
      <w:r w:rsidRPr="001F5E30">
        <w:t>Hariyati</w:t>
      </w:r>
      <w:proofErr w:type="spellEnd"/>
      <w:r w:rsidR="00485E61" w:rsidRPr="001F5E30">
        <w:t>, H</w:t>
      </w:r>
      <w:r w:rsidRPr="001F5E30">
        <w:t xml:space="preserve">. (2019). </w:t>
      </w:r>
      <w:proofErr w:type="spellStart"/>
      <w:r w:rsidRPr="001F5E30">
        <w:t>Pengaruh</w:t>
      </w:r>
      <w:proofErr w:type="spellEnd"/>
      <w:r w:rsidRPr="001F5E30">
        <w:t xml:space="preserve"> Pendidikan, </w:t>
      </w:r>
      <w:proofErr w:type="spellStart"/>
      <w:r w:rsidRPr="001F5E30">
        <w:t>Pengangguran</w:t>
      </w:r>
      <w:proofErr w:type="spellEnd"/>
      <w:r w:rsidRPr="001F5E30">
        <w:t xml:space="preserve">, dan </w:t>
      </w:r>
      <w:proofErr w:type="spellStart"/>
      <w:r w:rsidRPr="001F5E30">
        <w:t>Kemiskinan</w:t>
      </w:r>
      <w:proofErr w:type="spellEnd"/>
      <w:r w:rsidRPr="001F5E30">
        <w:t xml:space="preserve"> </w:t>
      </w:r>
      <w:proofErr w:type="spellStart"/>
      <w:r w:rsidRPr="001F5E30">
        <w:t>terhadap</w:t>
      </w:r>
      <w:proofErr w:type="spellEnd"/>
      <w:r w:rsidRPr="001F5E30">
        <w:t xml:space="preserve"> </w:t>
      </w:r>
      <w:proofErr w:type="spellStart"/>
      <w:r w:rsidRPr="001F5E30">
        <w:t>Ketimpangan</w:t>
      </w:r>
      <w:proofErr w:type="spellEnd"/>
      <w:r w:rsidRPr="001F5E30">
        <w:t xml:space="preserve"> </w:t>
      </w:r>
      <w:proofErr w:type="spellStart"/>
      <w:r w:rsidRPr="001F5E30">
        <w:t>Pendapatan</w:t>
      </w:r>
      <w:proofErr w:type="spellEnd"/>
      <w:r w:rsidRPr="001F5E30">
        <w:t xml:space="preserve"> di Indonesia. </w:t>
      </w:r>
      <w:proofErr w:type="spellStart"/>
      <w:r w:rsidRPr="001F5E30">
        <w:rPr>
          <w:i/>
        </w:rPr>
        <w:t>Jurnal</w:t>
      </w:r>
      <w:proofErr w:type="spellEnd"/>
      <w:r w:rsidRPr="001F5E30">
        <w:rPr>
          <w:i/>
        </w:rPr>
        <w:t xml:space="preserve"> </w:t>
      </w:r>
      <w:proofErr w:type="spellStart"/>
      <w:r w:rsidRPr="001F5E30">
        <w:rPr>
          <w:i/>
        </w:rPr>
        <w:t>Ekonomi</w:t>
      </w:r>
      <w:proofErr w:type="spellEnd"/>
      <w:r w:rsidRPr="001F5E30">
        <w:rPr>
          <w:i/>
        </w:rPr>
        <w:t xml:space="preserve"> </w:t>
      </w:r>
      <w:proofErr w:type="spellStart"/>
      <w:r w:rsidRPr="001F5E30">
        <w:rPr>
          <w:i/>
        </w:rPr>
        <w:t>Bisnis</w:t>
      </w:r>
      <w:proofErr w:type="spellEnd"/>
      <w:r w:rsidRPr="001F5E30">
        <w:rPr>
          <w:i/>
        </w:rPr>
        <w:t xml:space="preserve"> dan </w:t>
      </w:r>
      <w:proofErr w:type="spellStart"/>
      <w:r w:rsidRPr="001F5E30">
        <w:rPr>
          <w:i/>
        </w:rPr>
        <w:t>Kewirausahaan</w:t>
      </w:r>
      <w:proofErr w:type="spellEnd"/>
      <w:r w:rsidR="00A54581" w:rsidRPr="001F5E30">
        <w:rPr>
          <w:i/>
        </w:rPr>
        <w:t xml:space="preserve">, </w:t>
      </w:r>
      <w:r w:rsidRPr="001F5E30">
        <w:rPr>
          <w:i/>
        </w:rPr>
        <w:t>8</w:t>
      </w:r>
      <w:r w:rsidRPr="001F5E30">
        <w:t>(3)</w:t>
      </w:r>
      <w:r w:rsidR="00485E61" w:rsidRPr="001F5E30">
        <w:t xml:space="preserve">, 250 </w:t>
      </w:r>
      <w:r w:rsidR="000E0D6B" w:rsidRPr="001F5E30">
        <w:t>–</w:t>
      </w:r>
      <w:r w:rsidR="00485E61" w:rsidRPr="001F5E30">
        <w:t xml:space="preserve"> 265</w:t>
      </w:r>
    </w:p>
    <w:p w14:paraId="4270BB47" w14:textId="1B60EE2D" w:rsidR="000E0D6B" w:rsidRPr="001F5E30" w:rsidRDefault="00795C5E" w:rsidP="006335BF">
      <w:pPr>
        <w:ind w:left="567" w:hanging="567"/>
        <w:jc w:val="both"/>
        <w:rPr>
          <w:i/>
        </w:rPr>
      </w:pPr>
      <w:proofErr w:type="spellStart"/>
      <w:r w:rsidRPr="001F5E30">
        <w:t>Hur</w:t>
      </w:r>
      <w:proofErr w:type="spellEnd"/>
      <w:r w:rsidRPr="001F5E30">
        <w:t xml:space="preserve">, </w:t>
      </w:r>
      <w:r w:rsidR="006335BF" w:rsidRPr="001F5E30">
        <w:t>S. K. (2014). Government Spending and Inclusive G</w:t>
      </w:r>
      <w:r w:rsidR="000E0D6B" w:rsidRPr="001F5E30">
        <w:t>rowth in developing Asia.</w:t>
      </w:r>
      <w:r w:rsidR="006335BF" w:rsidRPr="001F5E30">
        <w:t xml:space="preserve">         </w:t>
      </w:r>
      <w:proofErr w:type="spellStart"/>
      <w:r w:rsidR="006335BF" w:rsidRPr="001F5E30">
        <w:rPr>
          <w:i/>
        </w:rPr>
        <w:t>Adb</w:t>
      </w:r>
      <w:proofErr w:type="spellEnd"/>
      <w:r w:rsidR="006335BF" w:rsidRPr="001F5E30">
        <w:rPr>
          <w:i/>
        </w:rPr>
        <w:t xml:space="preserve"> Economics Working Paper Series, 415.</w:t>
      </w:r>
      <w:r w:rsidR="006335BF" w:rsidRPr="001F5E30">
        <w:t xml:space="preserve"> Retrieved from https://www.adb.org/sites/default/files/publication/149219/ewp-415.pdf</w:t>
      </w:r>
    </w:p>
    <w:p w14:paraId="38845DE3" w14:textId="250BBD4B" w:rsidR="005D04D3" w:rsidRPr="001F5E30" w:rsidRDefault="005D04D3" w:rsidP="00C1005A">
      <w:pPr>
        <w:ind w:left="567" w:hanging="567"/>
        <w:jc w:val="both"/>
        <w:rPr>
          <w:noProof/>
        </w:rPr>
      </w:pPr>
      <w:r w:rsidRPr="001F5E30">
        <w:rPr>
          <w:noProof/>
        </w:rPr>
        <w:t xml:space="preserve">Idxchannel. (2017). </w:t>
      </w:r>
      <w:r w:rsidRPr="001F5E30">
        <w:rPr>
          <w:i/>
          <w:iCs/>
          <w:noProof/>
        </w:rPr>
        <w:t>APBD Lebih Banyak Dipakai untuk Gaji PNS dan Program Daerah yang Tak Fokus</w:t>
      </w:r>
      <w:r w:rsidRPr="001F5E30">
        <w:rPr>
          <w:noProof/>
        </w:rPr>
        <w:t xml:space="preserve">. </w:t>
      </w:r>
      <w:r w:rsidR="000165F9" w:rsidRPr="001F5E30">
        <w:rPr>
          <w:noProof/>
        </w:rPr>
        <w:t>Retrieved from:</w:t>
      </w:r>
      <w:r w:rsidRPr="001F5E30">
        <w:rPr>
          <w:noProof/>
        </w:rPr>
        <w:t xml:space="preserve"> </w:t>
      </w:r>
      <w:r w:rsidR="008C45D9" w:rsidRPr="00B33926">
        <w:t>https://idxchannel.okezone.com/read/2017/ 12/07/278/1826632/apbd-lebih-banyak-dipakai-untuk-gaji-pns-dan-program-daerah-yang-tak-fokus</w:t>
      </w:r>
    </w:p>
    <w:p w14:paraId="491299D1" w14:textId="43C755C5" w:rsidR="00506FCE" w:rsidRPr="001F5E30" w:rsidRDefault="00506FCE" w:rsidP="00C1005A">
      <w:pPr>
        <w:adjustRightInd w:val="0"/>
        <w:ind w:left="567" w:hanging="567"/>
        <w:jc w:val="both"/>
      </w:pPr>
      <w:proofErr w:type="spellStart"/>
      <w:r w:rsidRPr="001F5E30">
        <w:t>Jaumotte</w:t>
      </w:r>
      <w:proofErr w:type="spellEnd"/>
      <w:r w:rsidRPr="001F5E30">
        <w:t xml:space="preserve">, F., </w:t>
      </w:r>
      <w:proofErr w:type="spellStart"/>
      <w:r w:rsidRPr="001F5E30">
        <w:t>Subir</w:t>
      </w:r>
      <w:proofErr w:type="spellEnd"/>
      <w:r w:rsidRPr="001F5E30">
        <w:t xml:space="preserve">, L., &amp; Chris, P. </w:t>
      </w:r>
      <w:r w:rsidR="005D04D3" w:rsidRPr="001F5E30">
        <w:t>(</w:t>
      </w:r>
      <w:r w:rsidRPr="001F5E30">
        <w:t>2008</w:t>
      </w:r>
      <w:r w:rsidR="005D04D3" w:rsidRPr="001F5E30">
        <w:t>)</w:t>
      </w:r>
      <w:r w:rsidRPr="001F5E30">
        <w:t>. Rising Income Inequality: Tec</w:t>
      </w:r>
      <w:r w:rsidR="0068232F" w:rsidRPr="001F5E30">
        <w:t xml:space="preserve">hnology, or Trade and Financial Globalization? </w:t>
      </w:r>
      <w:r w:rsidRPr="001F5E30">
        <w:rPr>
          <w:i/>
        </w:rPr>
        <w:t>IMF Working Paper</w:t>
      </w:r>
      <w:r w:rsidRPr="001F5E30">
        <w:t>.</w:t>
      </w:r>
      <w:r w:rsidR="00111401" w:rsidRPr="001F5E30">
        <w:t xml:space="preserve"> </w:t>
      </w:r>
      <w:r w:rsidR="00111401" w:rsidRPr="001F5E30">
        <w:rPr>
          <w:noProof/>
        </w:rPr>
        <w:t xml:space="preserve">Retrieved from </w:t>
      </w:r>
      <w:r w:rsidR="00FB61D9" w:rsidRPr="001F5E30">
        <w:rPr>
          <w:noProof/>
        </w:rPr>
        <w:t>https://www.imf.org/~/media/Websites/IMF/imported-full-text-pdf/external/pubs/ft/wp/2008/_wp08185.ashx</w:t>
      </w:r>
    </w:p>
    <w:p w14:paraId="69A3C449" w14:textId="166544DE" w:rsidR="00506FCE" w:rsidRPr="001F5E30" w:rsidRDefault="00506FCE" w:rsidP="00C1005A">
      <w:pPr>
        <w:adjustRightInd w:val="0"/>
        <w:ind w:left="567" w:hanging="567"/>
        <w:jc w:val="both"/>
      </w:pPr>
      <w:r w:rsidRPr="001F5E30">
        <w:t>Kappel, V. (2010). The Effect of Financial Development on Income Inequality and Poverty</w:t>
      </w:r>
      <w:r w:rsidRPr="001F5E30">
        <w:rPr>
          <w:i/>
        </w:rPr>
        <w:t>. Economics Working Paper Series</w:t>
      </w:r>
      <w:r w:rsidR="00111401" w:rsidRPr="001F5E30">
        <w:rPr>
          <w:i/>
        </w:rPr>
        <w:t xml:space="preserve"> </w:t>
      </w:r>
      <w:r w:rsidR="00111401" w:rsidRPr="001F5E30">
        <w:rPr>
          <w:noProof/>
        </w:rPr>
        <w:t xml:space="preserve">Retrieved from </w:t>
      </w:r>
      <w:r w:rsidR="005C49EF" w:rsidRPr="001F5E30">
        <w:rPr>
          <w:noProof/>
        </w:rPr>
        <w:t>https://www.ethz.ch/content/dam/ethz/special-interest/mtec/cer-eth/cer-eth-dam/documents/working-papers/WP-10-127.pdf</w:t>
      </w:r>
    </w:p>
    <w:p w14:paraId="4AAE0ACC" w14:textId="77777777" w:rsidR="00506FCE" w:rsidRPr="001F5E30" w:rsidRDefault="00506FCE" w:rsidP="00C1005A">
      <w:pPr>
        <w:ind w:left="567" w:hanging="567"/>
        <w:jc w:val="both"/>
        <w:rPr>
          <w:noProof/>
        </w:rPr>
      </w:pPr>
      <w:r w:rsidRPr="001F5E30">
        <w:rPr>
          <w:noProof/>
        </w:rPr>
        <w:t xml:space="preserve">King, R. G., &amp; Levine, R. (1993). Finance and Growth: Schumpeter Might be Right. </w:t>
      </w:r>
      <w:r w:rsidRPr="001F5E30">
        <w:rPr>
          <w:i/>
          <w:iCs/>
          <w:noProof/>
        </w:rPr>
        <w:t>The Quarterly Journal of Economics</w:t>
      </w:r>
      <w:r w:rsidRPr="001F5E30">
        <w:rPr>
          <w:noProof/>
        </w:rPr>
        <w:t xml:space="preserve">, </w:t>
      </w:r>
      <w:r w:rsidRPr="001F5E30">
        <w:rPr>
          <w:i/>
          <w:iCs/>
          <w:noProof/>
        </w:rPr>
        <w:t>108</w:t>
      </w:r>
      <w:r w:rsidRPr="001F5E30">
        <w:rPr>
          <w:noProof/>
        </w:rPr>
        <w:t xml:space="preserve">(3), 717–737. </w:t>
      </w:r>
      <w:hyperlink r:id="rId12" w:history="1">
        <w:r w:rsidRPr="001F5E30">
          <w:rPr>
            <w:rStyle w:val="Hyperlink"/>
            <w:noProof/>
            <w:color w:val="auto"/>
            <w:u w:val="none"/>
          </w:rPr>
          <w:t>https://doi.org/10.1016/0146-6380(84)90122-0</w:t>
        </w:r>
      </w:hyperlink>
    </w:p>
    <w:p w14:paraId="0187D8F6" w14:textId="78F45CC4" w:rsidR="00506FCE" w:rsidRPr="001F5E30" w:rsidRDefault="00506FCE" w:rsidP="00C1005A">
      <w:pPr>
        <w:adjustRightInd w:val="0"/>
        <w:ind w:left="567" w:hanging="567"/>
        <w:jc w:val="both"/>
        <w:rPr>
          <w:noProof/>
        </w:rPr>
      </w:pPr>
      <w:r w:rsidRPr="001F5E30">
        <w:rPr>
          <w:noProof/>
        </w:rPr>
        <w:lastRenderedPageBreak/>
        <w:t xml:space="preserve">Lynch, D. (1996). Measuring Financial Sector Development: A Study of Selected Asia-Pasific Countries. </w:t>
      </w:r>
      <w:r w:rsidRPr="001F5E30">
        <w:rPr>
          <w:i/>
          <w:iCs/>
          <w:noProof/>
        </w:rPr>
        <w:t>The Developing Economics</w:t>
      </w:r>
      <w:r w:rsidRPr="001F5E30">
        <w:rPr>
          <w:noProof/>
        </w:rPr>
        <w:t xml:space="preserve">, </w:t>
      </w:r>
      <w:r w:rsidR="0041207E" w:rsidRPr="001F5E30">
        <w:rPr>
          <w:i/>
          <w:iCs/>
          <w:noProof/>
        </w:rPr>
        <w:t>34</w:t>
      </w:r>
      <w:r w:rsidRPr="001F5E30">
        <w:rPr>
          <w:noProof/>
        </w:rPr>
        <w:t>(1)</w:t>
      </w:r>
      <w:r w:rsidR="000723C3" w:rsidRPr="001F5E30">
        <w:rPr>
          <w:noProof/>
        </w:rPr>
        <w:t>, 1-33</w:t>
      </w:r>
    </w:p>
    <w:p w14:paraId="539B150E" w14:textId="5DB3C878" w:rsidR="00506FCE" w:rsidRPr="001F5E30" w:rsidRDefault="000723C3" w:rsidP="00C1005A">
      <w:pPr>
        <w:adjustRightInd w:val="0"/>
        <w:ind w:left="567" w:hanging="567"/>
        <w:jc w:val="both"/>
        <w:rPr>
          <w:noProof/>
        </w:rPr>
      </w:pPr>
      <w:proofErr w:type="spellStart"/>
      <w:r w:rsidRPr="001F5E30">
        <w:t>Marsossetiawan</w:t>
      </w:r>
      <w:proofErr w:type="spellEnd"/>
      <w:r w:rsidRPr="001F5E30">
        <w:t xml:space="preserve"> &amp; </w:t>
      </w:r>
      <w:r w:rsidR="00506FCE" w:rsidRPr="001F5E30">
        <w:t>Saleh</w:t>
      </w:r>
      <w:r w:rsidRPr="001F5E30">
        <w:t>, S</w:t>
      </w:r>
      <w:r w:rsidR="0068232F" w:rsidRPr="001F5E30">
        <w:t xml:space="preserve">. (2016). </w:t>
      </w:r>
      <w:r w:rsidR="0068232F" w:rsidRPr="001F5E30">
        <w:rPr>
          <w:i/>
          <w:iCs/>
        </w:rPr>
        <w:t>The Effect o</w:t>
      </w:r>
      <w:r w:rsidR="00506FCE" w:rsidRPr="001F5E30">
        <w:rPr>
          <w:i/>
          <w:iCs/>
        </w:rPr>
        <w:t xml:space="preserve">f Financial Development </w:t>
      </w:r>
      <w:proofErr w:type="gramStart"/>
      <w:r w:rsidR="00506FCE" w:rsidRPr="001F5E30">
        <w:rPr>
          <w:i/>
          <w:iCs/>
        </w:rPr>
        <w:t>On</w:t>
      </w:r>
      <w:proofErr w:type="gramEnd"/>
      <w:r w:rsidR="00506FCE" w:rsidRPr="001F5E30">
        <w:rPr>
          <w:i/>
          <w:iCs/>
        </w:rPr>
        <w:t xml:space="preserve"> Regional Income Inequality In Indonesia</w:t>
      </w:r>
      <w:r w:rsidR="00506FCE" w:rsidRPr="001F5E30">
        <w:t xml:space="preserve">. </w:t>
      </w:r>
      <w:r w:rsidR="00111401" w:rsidRPr="001F5E30">
        <w:t>[</w:t>
      </w:r>
      <w:r w:rsidR="00506FCE" w:rsidRPr="001F5E30">
        <w:t>Thesis</w:t>
      </w:r>
      <w:r w:rsidR="00111401" w:rsidRPr="001F5E30">
        <w:t>]</w:t>
      </w:r>
      <w:r w:rsidR="00506FCE" w:rsidRPr="001F5E30">
        <w:t xml:space="preserve">. Yogyakarta: Universitas Gadjah </w:t>
      </w:r>
      <w:proofErr w:type="spellStart"/>
      <w:r w:rsidR="00506FCE" w:rsidRPr="001F5E30">
        <w:t>Mada</w:t>
      </w:r>
      <w:proofErr w:type="spellEnd"/>
    </w:p>
    <w:p w14:paraId="7F83A30F" w14:textId="073F6437" w:rsidR="00506FCE" w:rsidRPr="001F5E30" w:rsidRDefault="00506FCE" w:rsidP="00C1005A">
      <w:pPr>
        <w:adjustRightInd w:val="0"/>
        <w:ind w:left="567" w:hanging="567"/>
        <w:jc w:val="both"/>
        <w:rPr>
          <w:noProof/>
        </w:rPr>
      </w:pPr>
      <w:proofErr w:type="spellStart"/>
      <w:r w:rsidRPr="001F5E30">
        <w:t>Matondang</w:t>
      </w:r>
      <w:proofErr w:type="spellEnd"/>
      <w:r w:rsidRPr="001F5E30">
        <w:t xml:space="preserve">, Z. (2018). </w:t>
      </w:r>
      <w:proofErr w:type="spellStart"/>
      <w:r w:rsidRPr="001F5E30">
        <w:t>Pengaruh</w:t>
      </w:r>
      <w:proofErr w:type="spellEnd"/>
      <w:r w:rsidRPr="001F5E30">
        <w:t xml:space="preserve"> </w:t>
      </w:r>
      <w:proofErr w:type="spellStart"/>
      <w:r w:rsidRPr="001F5E30">
        <w:t>Jumlah</w:t>
      </w:r>
      <w:proofErr w:type="spellEnd"/>
      <w:r w:rsidRPr="001F5E30">
        <w:t xml:space="preserve"> </w:t>
      </w:r>
      <w:proofErr w:type="spellStart"/>
      <w:r w:rsidRPr="001F5E30">
        <w:t>Penduduk</w:t>
      </w:r>
      <w:proofErr w:type="spellEnd"/>
      <w:r w:rsidRPr="001F5E30">
        <w:t xml:space="preserve">, </w:t>
      </w:r>
      <w:proofErr w:type="spellStart"/>
      <w:r w:rsidRPr="001F5E30">
        <w:t>Jumlah</w:t>
      </w:r>
      <w:proofErr w:type="spellEnd"/>
      <w:r w:rsidRPr="001F5E30">
        <w:t xml:space="preserve"> </w:t>
      </w:r>
      <w:proofErr w:type="spellStart"/>
      <w:r w:rsidRPr="001F5E30">
        <w:t>Pengangguran</w:t>
      </w:r>
      <w:proofErr w:type="spellEnd"/>
      <w:r w:rsidRPr="001F5E30">
        <w:t xml:space="preserve"> Dan Tingkat Pendidikan </w:t>
      </w:r>
      <w:proofErr w:type="spellStart"/>
      <w:r w:rsidRPr="001F5E30">
        <w:t>Terhadap</w:t>
      </w:r>
      <w:proofErr w:type="spellEnd"/>
      <w:r w:rsidRPr="001F5E30">
        <w:t xml:space="preserve"> </w:t>
      </w:r>
      <w:proofErr w:type="spellStart"/>
      <w:r w:rsidRPr="001F5E30">
        <w:t>Ketimpangan</w:t>
      </w:r>
      <w:proofErr w:type="spellEnd"/>
      <w:r w:rsidRPr="001F5E30">
        <w:t xml:space="preserve"> </w:t>
      </w:r>
      <w:proofErr w:type="spellStart"/>
      <w:r w:rsidRPr="001F5E30">
        <w:t>Pendapatan</w:t>
      </w:r>
      <w:proofErr w:type="spellEnd"/>
      <w:r w:rsidRPr="001F5E30">
        <w:t xml:space="preserve"> Di </w:t>
      </w:r>
      <w:proofErr w:type="spellStart"/>
      <w:r w:rsidRPr="001F5E30">
        <w:t>Desa</w:t>
      </w:r>
      <w:proofErr w:type="spellEnd"/>
      <w:r w:rsidRPr="001F5E30">
        <w:t xml:space="preserve"> </w:t>
      </w:r>
      <w:proofErr w:type="spellStart"/>
      <w:r w:rsidRPr="001F5E30">
        <w:t>Palopat</w:t>
      </w:r>
      <w:proofErr w:type="spellEnd"/>
      <w:r w:rsidRPr="001F5E30">
        <w:t xml:space="preserve"> Maria </w:t>
      </w:r>
      <w:proofErr w:type="spellStart"/>
      <w:r w:rsidRPr="001F5E30">
        <w:t>Kecamatan</w:t>
      </w:r>
      <w:proofErr w:type="spellEnd"/>
      <w:r w:rsidRPr="001F5E30">
        <w:t xml:space="preserve"> </w:t>
      </w:r>
      <w:proofErr w:type="spellStart"/>
      <w:r w:rsidRPr="001F5E30">
        <w:t>Padangsidimpuan</w:t>
      </w:r>
      <w:proofErr w:type="spellEnd"/>
      <w:r w:rsidRPr="001F5E30">
        <w:t xml:space="preserve"> </w:t>
      </w:r>
      <w:proofErr w:type="spellStart"/>
      <w:r w:rsidRPr="001F5E30">
        <w:t>Hutaimbaru</w:t>
      </w:r>
      <w:proofErr w:type="spellEnd"/>
      <w:r w:rsidRPr="001F5E30">
        <w:t xml:space="preserve">. </w:t>
      </w:r>
      <w:proofErr w:type="spellStart"/>
      <w:r w:rsidRPr="001F5E30">
        <w:rPr>
          <w:i/>
        </w:rPr>
        <w:t>Ihtiyath</w:t>
      </w:r>
      <w:proofErr w:type="spellEnd"/>
      <w:r w:rsidR="000165F9" w:rsidRPr="001F5E30">
        <w:rPr>
          <w:i/>
        </w:rPr>
        <w:t>,</w:t>
      </w:r>
      <w:r w:rsidRPr="001F5E30">
        <w:rPr>
          <w:i/>
        </w:rPr>
        <w:t xml:space="preserve"> 2</w:t>
      </w:r>
      <w:r w:rsidRPr="001F5E30">
        <w:t>(2)</w:t>
      </w:r>
      <w:r w:rsidR="000165F9" w:rsidRPr="001F5E30">
        <w:t>, 255 - 270</w:t>
      </w:r>
    </w:p>
    <w:p w14:paraId="78136E1B" w14:textId="2DE0D23F" w:rsidR="00506FCE" w:rsidRPr="001F5E30" w:rsidRDefault="00506FCE" w:rsidP="00C1005A">
      <w:pPr>
        <w:adjustRightInd w:val="0"/>
        <w:ind w:left="567" w:hanging="567"/>
        <w:jc w:val="both"/>
        <w:rPr>
          <w:noProof/>
        </w:rPr>
      </w:pPr>
      <w:r w:rsidRPr="001F5E30">
        <w:rPr>
          <w:noProof/>
        </w:rPr>
        <w:t xml:space="preserve">Mishkin, F. S. (2009). Globalization and Financial Development. </w:t>
      </w:r>
      <w:r w:rsidRPr="001F5E30">
        <w:rPr>
          <w:i/>
          <w:iCs/>
          <w:noProof/>
        </w:rPr>
        <w:t>Journal of Development Economics</w:t>
      </w:r>
      <w:r w:rsidRPr="001F5E30">
        <w:rPr>
          <w:noProof/>
        </w:rPr>
        <w:t xml:space="preserve">, </w:t>
      </w:r>
      <w:r w:rsidRPr="001F5E30">
        <w:rPr>
          <w:i/>
          <w:iCs/>
          <w:noProof/>
        </w:rPr>
        <w:t>89</w:t>
      </w:r>
      <w:r w:rsidR="00A54581" w:rsidRPr="001F5E30">
        <w:rPr>
          <w:noProof/>
        </w:rPr>
        <w:t>(2),</w:t>
      </w:r>
      <w:r w:rsidRPr="001F5E30">
        <w:rPr>
          <w:noProof/>
        </w:rPr>
        <w:t xml:space="preserve"> 164–169. </w:t>
      </w:r>
      <w:hyperlink r:id="rId13" w:history="1">
        <w:r w:rsidRPr="001F5E30">
          <w:rPr>
            <w:rStyle w:val="Hyperlink"/>
            <w:noProof/>
            <w:color w:val="auto"/>
            <w:u w:val="none"/>
          </w:rPr>
          <w:t>https://doi.org/10.1016/j.jdeveco.2007.11.004</w:t>
        </w:r>
      </w:hyperlink>
    </w:p>
    <w:p w14:paraId="4B483011" w14:textId="77777777" w:rsidR="00506FCE" w:rsidRPr="001F5E30" w:rsidRDefault="00506FCE" w:rsidP="00C1005A">
      <w:pPr>
        <w:adjustRightInd w:val="0"/>
        <w:ind w:left="567" w:hanging="567"/>
        <w:jc w:val="both"/>
        <w:rPr>
          <w:noProof/>
        </w:rPr>
      </w:pPr>
      <w:r w:rsidRPr="001F5E30">
        <w:rPr>
          <w:noProof/>
        </w:rPr>
        <w:t xml:space="preserve">Neaime, S., &amp; Gaysset, I. (2018). Financial Inclusion and Stability in MENA: Evidence from Poverty and Inequality. </w:t>
      </w:r>
      <w:r w:rsidRPr="001F5E30">
        <w:rPr>
          <w:i/>
          <w:iCs/>
          <w:noProof/>
        </w:rPr>
        <w:t>Finance Research Letters</w:t>
      </w:r>
      <w:r w:rsidRPr="001F5E30">
        <w:rPr>
          <w:noProof/>
        </w:rPr>
        <w:t xml:space="preserve">, </w:t>
      </w:r>
      <w:r w:rsidRPr="001F5E30">
        <w:rPr>
          <w:i/>
          <w:iCs/>
          <w:noProof/>
        </w:rPr>
        <w:t>24</w:t>
      </w:r>
      <w:r w:rsidRPr="001F5E30">
        <w:rPr>
          <w:noProof/>
        </w:rPr>
        <w:t>, 230–237. https://doi.org/10.1016/j.frl.2017.09.007</w:t>
      </w:r>
    </w:p>
    <w:p w14:paraId="2B68CDED" w14:textId="378BB218" w:rsidR="00506FCE" w:rsidRPr="001F5E30" w:rsidRDefault="00FB61D9" w:rsidP="00C1005A">
      <w:pPr>
        <w:adjustRightInd w:val="0"/>
        <w:ind w:left="567" w:hanging="567"/>
        <w:jc w:val="both"/>
        <w:rPr>
          <w:noProof/>
        </w:rPr>
      </w:pPr>
      <w:r w:rsidRPr="001F5E30">
        <w:rPr>
          <w:noProof/>
        </w:rPr>
        <w:t>Park, C.</w:t>
      </w:r>
      <w:r w:rsidR="00506FCE" w:rsidRPr="001F5E30">
        <w:rPr>
          <w:noProof/>
        </w:rPr>
        <w:t xml:space="preserve">Y., &amp; Mercado, R. J. (2015). Financial Inclusion, Poverty, and Income Inequality in Developing Asia. </w:t>
      </w:r>
      <w:r w:rsidR="00506FCE" w:rsidRPr="001F5E30">
        <w:rPr>
          <w:i/>
          <w:iCs/>
          <w:noProof/>
        </w:rPr>
        <w:t>ADB Economics Working Paper Series</w:t>
      </w:r>
      <w:r w:rsidR="00506FCE" w:rsidRPr="001F5E30">
        <w:rPr>
          <w:noProof/>
        </w:rPr>
        <w:t>. https://doi.org/10.2139/ssrn.2558936</w:t>
      </w:r>
    </w:p>
    <w:p w14:paraId="6EB0B717" w14:textId="0E907818" w:rsidR="00506FCE" w:rsidRPr="001F5E30" w:rsidRDefault="00506FCE" w:rsidP="00C1005A">
      <w:pPr>
        <w:adjustRightInd w:val="0"/>
        <w:ind w:left="567" w:hanging="567"/>
        <w:jc w:val="both"/>
        <w:rPr>
          <w:noProof/>
        </w:rPr>
      </w:pPr>
      <w:proofErr w:type="spellStart"/>
      <w:r w:rsidRPr="001F5E30">
        <w:t>Prastowo</w:t>
      </w:r>
      <w:proofErr w:type="spellEnd"/>
      <w:r w:rsidRPr="001F5E30">
        <w:t xml:space="preserve">. (2018). </w:t>
      </w:r>
      <w:proofErr w:type="spellStart"/>
      <w:r w:rsidRPr="001F5E30">
        <w:t>Analisis</w:t>
      </w:r>
      <w:proofErr w:type="spellEnd"/>
      <w:r w:rsidRPr="001F5E30">
        <w:t xml:space="preserve"> Regional </w:t>
      </w:r>
      <w:proofErr w:type="spellStart"/>
      <w:r w:rsidRPr="001F5E30">
        <w:t>Keuangan</w:t>
      </w:r>
      <w:proofErr w:type="spellEnd"/>
      <w:r w:rsidRPr="001F5E30">
        <w:t xml:space="preserve"> </w:t>
      </w:r>
      <w:proofErr w:type="spellStart"/>
      <w:r w:rsidRPr="001F5E30">
        <w:t>Inklusi</w:t>
      </w:r>
      <w:proofErr w:type="spellEnd"/>
      <w:r w:rsidRPr="001F5E30">
        <w:t xml:space="preserve"> </w:t>
      </w:r>
      <w:proofErr w:type="spellStart"/>
      <w:r w:rsidRPr="001F5E30">
        <w:t>Perbankan</w:t>
      </w:r>
      <w:proofErr w:type="spellEnd"/>
      <w:r w:rsidRPr="001F5E30">
        <w:t xml:space="preserve"> Syariah </w:t>
      </w:r>
      <w:proofErr w:type="spellStart"/>
      <w:r w:rsidRPr="001F5E30">
        <w:t>terhadap</w:t>
      </w:r>
      <w:proofErr w:type="spellEnd"/>
      <w:r w:rsidRPr="001F5E30">
        <w:t xml:space="preserve"> </w:t>
      </w:r>
      <w:proofErr w:type="spellStart"/>
      <w:r w:rsidRPr="001F5E30">
        <w:t>Ketimpangan</w:t>
      </w:r>
      <w:proofErr w:type="spellEnd"/>
      <w:r w:rsidRPr="001F5E30">
        <w:t xml:space="preserve"> </w:t>
      </w:r>
      <w:proofErr w:type="spellStart"/>
      <w:r w:rsidRPr="001F5E30">
        <w:t>Pendapatan</w:t>
      </w:r>
      <w:proofErr w:type="spellEnd"/>
      <w:r w:rsidRPr="001F5E30">
        <w:t xml:space="preserve"> di Indonesia. </w:t>
      </w:r>
      <w:proofErr w:type="spellStart"/>
      <w:r w:rsidRPr="001F5E30">
        <w:rPr>
          <w:i/>
        </w:rPr>
        <w:t>Jurnal</w:t>
      </w:r>
      <w:proofErr w:type="spellEnd"/>
      <w:r w:rsidRPr="001F5E30">
        <w:rPr>
          <w:i/>
        </w:rPr>
        <w:t xml:space="preserve"> </w:t>
      </w:r>
      <w:proofErr w:type="spellStart"/>
      <w:r w:rsidRPr="001F5E30">
        <w:rPr>
          <w:i/>
        </w:rPr>
        <w:t>Ekonomi</w:t>
      </w:r>
      <w:proofErr w:type="spellEnd"/>
      <w:r w:rsidRPr="001F5E30">
        <w:rPr>
          <w:i/>
        </w:rPr>
        <w:t xml:space="preserve"> &amp; </w:t>
      </w:r>
      <w:proofErr w:type="spellStart"/>
      <w:r w:rsidRPr="001F5E30">
        <w:rPr>
          <w:i/>
        </w:rPr>
        <w:t>Keuangan</w:t>
      </w:r>
      <w:proofErr w:type="spellEnd"/>
      <w:r w:rsidRPr="001F5E30">
        <w:rPr>
          <w:i/>
        </w:rPr>
        <w:t xml:space="preserve"> Islam</w:t>
      </w:r>
      <w:r w:rsidRPr="001F5E30">
        <w:t xml:space="preserve">, </w:t>
      </w:r>
      <w:r w:rsidRPr="001F5E30">
        <w:rPr>
          <w:i/>
        </w:rPr>
        <w:t>4</w:t>
      </w:r>
      <w:r w:rsidR="006443A5" w:rsidRPr="001F5E30">
        <w:t>(01), 51-57</w:t>
      </w:r>
    </w:p>
    <w:p w14:paraId="4786B3DB" w14:textId="49D4FBBD" w:rsidR="00506FCE" w:rsidRPr="001F5E30" w:rsidRDefault="00506FCE" w:rsidP="00C1005A">
      <w:pPr>
        <w:ind w:left="567" w:hanging="567"/>
        <w:jc w:val="both"/>
      </w:pPr>
      <w:proofErr w:type="spellStart"/>
      <w:r w:rsidRPr="001F5E30">
        <w:t>Qibthiyyah</w:t>
      </w:r>
      <w:proofErr w:type="spellEnd"/>
      <w:r w:rsidRPr="001F5E30">
        <w:t>, R. M. (2017). Provinces and Local Government Revenues Structures and Intra-Province Economic Disparity.</w:t>
      </w:r>
      <w:r w:rsidR="00974B13" w:rsidRPr="001F5E30">
        <w:t xml:space="preserve"> </w:t>
      </w:r>
      <w:r w:rsidR="00974B13" w:rsidRPr="001F5E30">
        <w:rPr>
          <w:i/>
          <w:iCs/>
        </w:rPr>
        <w:t>Economics and Finance</w:t>
      </w:r>
      <w:r w:rsidR="00974B13" w:rsidRPr="001F5E30">
        <w:t xml:space="preserve">, </w:t>
      </w:r>
      <w:r w:rsidR="00974B13" w:rsidRPr="001F5E30">
        <w:rPr>
          <w:i/>
        </w:rPr>
        <w:t>63</w:t>
      </w:r>
      <w:r w:rsidR="00974B13" w:rsidRPr="001F5E30">
        <w:t>(1), 81 - 96</w:t>
      </w:r>
    </w:p>
    <w:p w14:paraId="0D926E29" w14:textId="040CCD6D" w:rsidR="00506FCE" w:rsidRPr="001F5E30" w:rsidRDefault="0068232F" w:rsidP="00C1005A">
      <w:pPr>
        <w:adjustRightInd w:val="0"/>
        <w:ind w:left="567" w:hanging="567"/>
        <w:jc w:val="both"/>
        <w:rPr>
          <w:noProof/>
        </w:rPr>
      </w:pPr>
      <w:r w:rsidRPr="001F5E30">
        <w:t>Seven, U., &amp; Coskun, Y</w:t>
      </w:r>
      <w:r w:rsidR="00506FCE" w:rsidRPr="001F5E30">
        <w:t>. (2016). Does Financial Development Reduce Income In</w:t>
      </w:r>
      <w:r w:rsidRPr="001F5E30">
        <w:t>equality and Poverty? Evidence f</w:t>
      </w:r>
      <w:r w:rsidR="00506FCE" w:rsidRPr="001F5E30">
        <w:t xml:space="preserve">rom Emerging Countries. </w:t>
      </w:r>
      <w:r w:rsidR="00506FCE" w:rsidRPr="001F5E30">
        <w:rPr>
          <w:i/>
        </w:rPr>
        <w:t>Emerging Markets Review</w:t>
      </w:r>
      <w:r w:rsidR="0041207E" w:rsidRPr="001F5E30">
        <w:t xml:space="preserve">, </w:t>
      </w:r>
      <w:r w:rsidR="0041207E" w:rsidRPr="001F5E30">
        <w:rPr>
          <w:i/>
        </w:rPr>
        <w:t>26</w:t>
      </w:r>
      <w:r w:rsidR="00721750" w:rsidRPr="001F5E30">
        <w:t>, 34-63</w:t>
      </w:r>
    </w:p>
    <w:p w14:paraId="4598DB68" w14:textId="41CE6D6A" w:rsidR="00506FCE" w:rsidRPr="001F5E30" w:rsidRDefault="00506FCE" w:rsidP="00C1005A">
      <w:pPr>
        <w:adjustRightInd w:val="0"/>
        <w:ind w:left="567" w:hanging="567"/>
        <w:jc w:val="both"/>
        <w:rPr>
          <w:noProof/>
        </w:rPr>
      </w:pPr>
      <w:r w:rsidRPr="001F5E30">
        <w:rPr>
          <w:noProof/>
        </w:rPr>
        <w:t xml:space="preserve">Supartoyo, Y. H., Juanda, B., Firdaus, M., &amp; Effendi, J. (2018). Pengaruh Sektor Keuangan Bank Perkreditan Rakyat terhadap Perekonomian Regional Wilayah Sulawesi. </w:t>
      </w:r>
      <w:r w:rsidRPr="001F5E30">
        <w:rPr>
          <w:i/>
          <w:iCs/>
          <w:noProof/>
        </w:rPr>
        <w:t>Kajian Ekonomi &amp; Keuangan</w:t>
      </w:r>
      <w:r w:rsidRPr="001F5E30">
        <w:rPr>
          <w:noProof/>
        </w:rPr>
        <w:t xml:space="preserve">, </w:t>
      </w:r>
      <w:r w:rsidRPr="001F5E30">
        <w:rPr>
          <w:i/>
          <w:iCs/>
          <w:noProof/>
        </w:rPr>
        <w:t>2</w:t>
      </w:r>
      <w:r w:rsidR="00B66342" w:rsidRPr="001F5E30">
        <w:rPr>
          <w:noProof/>
        </w:rPr>
        <w:t>(1), 15-38</w:t>
      </w:r>
    </w:p>
    <w:p w14:paraId="14260DAF" w14:textId="66FF7F59" w:rsidR="00506FCE" w:rsidRPr="001F5E30" w:rsidRDefault="00506FCE" w:rsidP="00C1005A">
      <w:pPr>
        <w:adjustRightInd w:val="0"/>
        <w:ind w:left="567" w:hanging="567"/>
        <w:jc w:val="both"/>
      </w:pPr>
      <w:proofErr w:type="spellStart"/>
      <w:r w:rsidRPr="001F5E30">
        <w:t>Sylwester</w:t>
      </w:r>
      <w:proofErr w:type="spellEnd"/>
      <w:r w:rsidR="0068232F" w:rsidRPr="001F5E30">
        <w:t>, K. (2003). Income Inequality a</w:t>
      </w:r>
      <w:r w:rsidRPr="001F5E30">
        <w:t xml:space="preserve">nd Population Density 1500 AD: A Connection. </w:t>
      </w:r>
      <w:r w:rsidR="0068232F" w:rsidRPr="001F5E30">
        <w:rPr>
          <w:i/>
        </w:rPr>
        <w:t>Journal o</w:t>
      </w:r>
      <w:r w:rsidRPr="001F5E30">
        <w:rPr>
          <w:i/>
        </w:rPr>
        <w:t>f Economic Development</w:t>
      </w:r>
      <w:r w:rsidR="00326F92" w:rsidRPr="001F5E30">
        <w:t xml:space="preserve">, </w:t>
      </w:r>
      <w:r w:rsidRPr="001F5E30">
        <w:rPr>
          <w:i/>
        </w:rPr>
        <w:t>28</w:t>
      </w:r>
      <w:r w:rsidRPr="001F5E30">
        <w:t>(2)</w:t>
      </w:r>
      <w:r w:rsidR="00326F92" w:rsidRPr="001F5E30">
        <w:t>, 61-82</w:t>
      </w:r>
    </w:p>
    <w:p w14:paraId="12E7B171" w14:textId="5C7C3537" w:rsidR="00506FCE" w:rsidRPr="001F5E30" w:rsidRDefault="00506FCE" w:rsidP="00C1005A">
      <w:pPr>
        <w:adjustRightInd w:val="0"/>
        <w:ind w:left="567" w:hanging="567"/>
        <w:jc w:val="both"/>
        <w:rPr>
          <w:noProof/>
        </w:rPr>
      </w:pPr>
      <w:proofErr w:type="spellStart"/>
      <w:r w:rsidRPr="001F5E30">
        <w:t>Tambunan</w:t>
      </w:r>
      <w:proofErr w:type="spellEnd"/>
      <w:r w:rsidRPr="001F5E30">
        <w:t xml:space="preserve">, T.H. (2001). </w:t>
      </w:r>
      <w:proofErr w:type="spellStart"/>
      <w:r w:rsidRPr="001F5E30">
        <w:rPr>
          <w:i/>
        </w:rPr>
        <w:t>Perekonomian</w:t>
      </w:r>
      <w:proofErr w:type="spellEnd"/>
      <w:r w:rsidRPr="001F5E30">
        <w:rPr>
          <w:i/>
        </w:rPr>
        <w:t xml:space="preserve"> Indonesia: </w:t>
      </w:r>
      <w:proofErr w:type="spellStart"/>
      <w:r w:rsidRPr="001F5E30">
        <w:rPr>
          <w:i/>
        </w:rPr>
        <w:t>Teori</w:t>
      </w:r>
      <w:proofErr w:type="spellEnd"/>
      <w:r w:rsidRPr="001F5E30">
        <w:rPr>
          <w:i/>
        </w:rPr>
        <w:t xml:space="preserve"> dan </w:t>
      </w:r>
      <w:proofErr w:type="spellStart"/>
      <w:r w:rsidRPr="001F5E30">
        <w:rPr>
          <w:i/>
        </w:rPr>
        <w:t>Temuan</w:t>
      </w:r>
      <w:proofErr w:type="spellEnd"/>
      <w:r w:rsidRPr="001F5E30">
        <w:rPr>
          <w:i/>
        </w:rPr>
        <w:t xml:space="preserve"> </w:t>
      </w:r>
      <w:proofErr w:type="spellStart"/>
      <w:r w:rsidRPr="001F5E30">
        <w:rPr>
          <w:i/>
        </w:rPr>
        <w:t>Empiris</w:t>
      </w:r>
      <w:proofErr w:type="spellEnd"/>
      <w:r w:rsidR="00157131">
        <w:rPr>
          <w:i/>
        </w:rPr>
        <w:t>.</w:t>
      </w:r>
      <w:r w:rsidRPr="001F5E30">
        <w:t xml:space="preserve"> </w:t>
      </w:r>
      <w:r w:rsidR="00157131">
        <w:t xml:space="preserve">Jakarta: </w:t>
      </w:r>
      <w:proofErr w:type="spellStart"/>
      <w:r w:rsidRPr="001F5E30">
        <w:t>Ghalia</w:t>
      </w:r>
      <w:proofErr w:type="spellEnd"/>
      <w:r w:rsidRPr="001F5E30">
        <w:t xml:space="preserve"> Indonesia</w:t>
      </w:r>
    </w:p>
    <w:p w14:paraId="5D8EFEBC" w14:textId="4DCB4987" w:rsidR="00506FCE" w:rsidRPr="001F5E30" w:rsidRDefault="00506FCE" w:rsidP="00C1005A">
      <w:pPr>
        <w:ind w:left="567" w:hanging="567"/>
        <w:jc w:val="both"/>
        <w:rPr>
          <w:noProof/>
        </w:rPr>
      </w:pPr>
      <w:r w:rsidRPr="001F5E30">
        <w:rPr>
          <w:noProof/>
        </w:rPr>
        <w:t xml:space="preserve">Tan, H. B., &amp; Law, S. H. (2012). Nonlinear Dynamics of the Finance-Inequality Nexus in Developing Countries. </w:t>
      </w:r>
      <w:r w:rsidRPr="001F5E30">
        <w:rPr>
          <w:i/>
          <w:iCs/>
          <w:noProof/>
        </w:rPr>
        <w:t>Journal of Economic Inequality</w:t>
      </w:r>
      <w:r w:rsidRPr="001F5E30">
        <w:rPr>
          <w:noProof/>
        </w:rPr>
        <w:t xml:space="preserve">, </w:t>
      </w:r>
      <w:r w:rsidRPr="001F5E30">
        <w:rPr>
          <w:i/>
          <w:iCs/>
          <w:noProof/>
        </w:rPr>
        <w:t>10</w:t>
      </w:r>
      <w:r w:rsidR="000F0900" w:rsidRPr="001F5E30">
        <w:rPr>
          <w:noProof/>
        </w:rPr>
        <w:t xml:space="preserve">(4), </w:t>
      </w:r>
      <w:r w:rsidRPr="001F5E30">
        <w:rPr>
          <w:noProof/>
        </w:rPr>
        <w:t xml:space="preserve">551–563. </w:t>
      </w:r>
      <w:hyperlink r:id="rId14" w:history="1">
        <w:r w:rsidRPr="001F5E30">
          <w:rPr>
            <w:rStyle w:val="Hyperlink"/>
            <w:noProof/>
            <w:color w:val="auto"/>
            <w:u w:val="none"/>
          </w:rPr>
          <w:t>https://doi.org/10.1007/s10888-011-9174-3</w:t>
        </w:r>
      </w:hyperlink>
    </w:p>
    <w:p w14:paraId="4329E0E5" w14:textId="77777777" w:rsidR="00916098" w:rsidRPr="001F5E30" w:rsidRDefault="00506FCE" w:rsidP="00916098">
      <w:pPr>
        <w:ind w:left="567" w:hanging="567"/>
        <w:jc w:val="both"/>
      </w:pPr>
      <w:proofErr w:type="spellStart"/>
      <w:r w:rsidRPr="001F5E30">
        <w:t>Wardhana</w:t>
      </w:r>
      <w:proofErr w:type="spellEnd"/>
      <w:r w:rsidR="00326F92" w:rsidRPr="001F5E30">
        <w:t xml:space="preserve"> A., </w:t>
      </w:r>
      <w:proofErr w:type="spellStart"/>
      <w:r w:rsidR="00326F92" w:rsidRPr="001F5E30">
        <w:t>Juanda</w:t>
      </w:r>
      <w:proofErr w:type="spellEnd"/>
      <w:r w:rsidR="00326F92" w:rsidRPr="001F5E30">
        <w:t xml:space="preserve">, B., </w:t>
      </w:r>
      <w:proofErr w:type="spellStart"/>
      <w:r w:rsidR="00326F92" w:rsidRPr="001F5E30">
        <w:t>Siregar</w:t>
      </w:r>
      <w:proofErr w:type="spellEnd"/>
      <w:r w:rsidR="00326F92" w:rsidRPr="001F5E30">
        <w:t xml:space="preserve">, H., Wibowo, K. </w:t>
      </w:r>
      <w:r w:rsidRPr="001F5E30">
        <w:t xml:space="preserve">(2013). </w:t>
      </w:r>
      <w:proofErr w:type="spellStart"/>
      <w:r w:rsidRPr="001F5E30">
        <w:t>Dampak</w:t>
      </w:r>
      <w:proofErr w:type="spellEnd"/>
      <w:r w:rsidRPr="001F5E30">
        <w:t xml:space="preserve"> Transfer Pusat </w:t>
      </w:r>
      <w:proofErr w:type="spellStart"/>
      <w:r w:rsidRPr="001F5E30">
        <w:t>Terhadap</w:t>
      </w:r>
      <w:proofErr w:type="spellEnd"/>
      <w:r w:rsidRPr="001F5E30">
        <w:t xml:space="preserve"> </w:t>
      </w:r>
      <w:proofErr w:type="spellStart"/>
      <w:r w:rsidRPr="001F5E30">
        <w:t>Penurunan</w:t>
      </w:r>
      <w:proofErr w:type="spellEnd"/>
      <w:r w:rsidRPr="001F5E30">
        <w:t xml:space="preserve"> </w:t>
      </w:r>
      <w:proofErr w:type="spellStart"/>
      <w:r w:rsidRPr="001F5E30">
        <w:t>Ketimpangan</w:t>
      </w:r>
      <w:proofErr w:type="spellEnd"/>
      <w:r w:rsidRPr="001F5E30">
        <w:t xml:space="preserve"> </w:t>
      </w:r>
      <w:proofErr w:type="spellStart"/>
      <w:r w:rsidRPr="001F5E30">
        <w:t>Pendapatan</w:t>
      </w:r>
      <w:proofErr w:type="spellEnd"/>
      <w:r w:rsidRPr="001F5E30">
        <w:t xml:space="preserve"> di Indonesia. </w:t>
      </w:r>
      <w:proofErr w:type="spellStart"/>
      <w:r w:rsidRPr="001F5E30">
        <w:rPr>
          <w:i/>
        </w:rPr>
        <w:t>Sosiohumaniora</w:t>
      </w:r>
      <w:proofErr w:type="spellEnd"/>
      <w:r w:rsidR="00326F92" w:rsidRPr="001F5E30">
        <w:rPr>
          <w:i/>
        </w:rPr>
        <w:t>, 15</w:t>
      </w:r>
      <w:r w:rsidR="00326F92" w:rsidRPr="001F5E30">
        <w:t>(2), 111-118</w:t>
      </w:r>
      <w:r w:rsidR="00916098" w:rsidRPr="001F5E30">
        <w:t xml:space="preserve"> </w:t>
      </w:r>
    </w:p>
    <w:p w14:paraId="1C7440AD" w14:textId="43869132" w:rsidR="009C74F8" w:rsidRDefault="00916098" w:rsidP="00916098">
      <w:pPr>
        <w:ind w:left="567" w:hanging="567"/>
        <w:jc w:val="both"/>
        <w:rPr>
          <w:noProof/>
        </w:rPr>
      </w:pPr>
      <w:r w:rsidRPr="001F5E30">
        <w:rPr>
          <w:noProof/>
        </w:rPr>
        <w:t>World Bank. (2016</w:t>
      </w:r>
      <w:r w:rsidR="00506FCE" w:rsidRPr="001F5E30">
        <w:rPr>
          <w:noProof/>
        </w:rPr>
        <w:t xml:space="preserve">). </w:t>
      </w:r>
      <w:r w:rsidR="00506FCE" w:rsidRPr="001F5E30">
        <w:rPr>
          <w:i/>
          <w:noProof/>
        </w:rPr>
        <w:t>Ketimpangan yang Semakin Lebar</w:t>
      </w:r>
      <w:r w:rsidRPr="001F5E30">
        <w:rPr>
          <w:noProof/>
        </w:rPr>
        <w:t xml:space="preserve">. Maret 2016. Bank Dunia.  </w:t>
      </w:r>
      <w:r w:rsidR="008C45D9">
        <w:rPr>
          <w:noProof/>
        </w:rPr>
        <w:t xml:space="preserve">Retrieved from: </w:t>
      </w:r>
      <w:r w:rsidR="008C45D9" w:rsidRPr="008C45D9">
        <w:rPr>
          <w:noProof/>
        </w:rPr>
        <w:t>http://pubdocs.worldbank.org/en/986461460705141518/</w:t>
      </w:r>
      <w:r w:rsidR="008C45D9">
        <w:rPr>
          <w:noProof/>
        </w:rPr>
        <w:t xml:space="preserve"> </w:t>
      </w:r>
      <w:r w:rsidR="00702B88" w:rsidRPr="001F5E30">
        <w:rPr>
          <w:noProof/>
        </w:rPr>
        <w:t>Indonesias-Rising-Divide-Bahasa-Indonesia.pdf</w:t>
      </w:r>
    </w:p>
    <w:p w14:paraId="0B80F84A" w14:textId="4E006E5D" w:rsidR="00D75B08" w:rsidRDefault="00D75B08" w:rsidP="00C1005A">
      <w:pPr>
        <w:adjustRightInd w:val="0"/>
        <w:ind w:left="567" w:hanging="567"/>
        <w:jc w:val="both"/>
        <w:rPr>
          <w:noProof/>
        </w:rPr>
      </w:pPr>
    </w:p>
    <w:p w14:paraId="0196B85C" w14:textId="54C9A18F" w:rsidR="009C6CCD" w:rsidRDefault="009C6CCD" w:rsidP="00C1005A">
      <w:pPr>
        <w:adjustRightInd w:val="0"/>
        <w:ind w:left="567" w:hanging="567"/>
        <w:jc w:val="both"/>
        <w:rPr>
          <w:noProof/>
        </w:rPr>
      </w:pPr>
    </w:p>
    <w:p w14:paraId="5647C1AD" w14:textId="77777777" w:rsidR="009C6CCD" w:rsidRDefault="009C6CCD" w:rsidP="00C1005A">
      <w:pPr>
        <w:adjustRightInd w:val="0"/>
        <w:ind w:left="567" w:hanging="567"/>
        <w:jc w:val="both"/>
        <w:rPr>
          <w:noProof/>
        </w:rPr>
      </w:pPr>
    </w:p>
    <w:p w14:paraId="305C021B" w14:textId="77777777" w:rsidR="009C6CCD" w:rsidRDefault="009C6CCD" w:rsidP="00C1005A">
      <w:pPr>
        <w:adjustRightInd w:val="0"/>
        <w:ind w:left="567" w:hanging="567"/>
        <w:jc w:val="both"/>
        <w:rPr>
          <w:noProof/>
        </w:rPr>
      </w:pPr>
    </w:p>
    <w:p w14:paraId="7EF6B688" w14:textId="77777777" w:rsidR="00D75B08" w:rsidRPr="00144307" w:rsidRDefault="00D75B08" w:rsidP="00D75B08">
      <w:pPr>
        <w:overflowPunct w:val="0"/>
        <w:adjustRightInd w:val="0"/>
        <w:ind w:right="-1" w:firstLine="567"/>
      </w:pPr>
      <w:r>
        <w:rPr>
          <w:noProof/>
        </w:rPr>
        <mc:AlternateContent>
          <mc:Choice Requires="wps">
            <w:drawing>
              <wp:anchor distT="0" distB="0" distL="114300" distR="114300" simplePos="0" relativeHeight="251663872" behindDoc="0" locked="0" layoutInCell="1" allowOverlap="1" wp14:anchorId="54FE008F" wp14:editId="2F6851C1">
                <wp:simplePos x="0" y="0"/>
                <wp:positionH relativeFrom="column">
                  <wp:posOffset>1235075</wp:posOffset>
                </wp:positionH>
                <wp:positionV relativeFrom="paragraph">
                  <wp:posOffset>116205</wp:posOffset>
                </wp:positionV>
                <wp:extent cx="4210050" cy="609600"/>
                <wp:effectExtent l="0" t="1905" r="31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21796" w14:textId="77777777" w:rsidR="00D75B08" w:rsidRPr="00E13C05" w:rsidRDefault="00D75B08" w:rsidP="00D75B08">
                            <w:pPr>
                              <w:adjustRightInd w:val="0"/>
                              <w:jc w:val="both"/>
                              <w:rPr>
                                <w:sz w:val="20"/>
                                <w:szCs w:val="20"/>
                              </w:rPr>
                            </w:pPr>
                            <w:r w:rsidRPr="00E13C05">
                              <w:rPr>
                                <w:color w:val="000000"/>
                                <w:sz w:val="20"/>
                                <w:szCs w:val="20"/>
                                <w:lang w:eastAsia="id-ID"/>
                              </w:rPr>
                              <w:t xml:space="preserve">© 2020 by the authors. Licensee JPPD, Indonesia. This article is an open-access article distributed under the terms and conditions of the Creative Commons Attribution (CC BY) </w:t>
                            </w:r>
                            <w:proofErr w:type="gramStart"/>
                            <w:r w:rsidRPr="00E13C05">
                              <w:rPr>
                                <w:color w:val="000000"/>
                                <w:sz w:val="20"/>
                                <w:szCs w:val="20"/>
                                <w:lang w:eastAsia="id-ID"/>
                              </w:rPr>
                              <w:t>license  (</w:t>
                            </w:r>
                            <w:proofErr w:type="gramEnd"/>
                            <w:r w:rsidRPr="00E13C05">
                              <w:rPr>
                                <w:color w:val="000000"/>
                                <w:sz w:val="20"/>
                                <w:szCs w:val="20"/>
                                <w:lang w:eastAsia="id-ID"/>
                              </w:rPr>
                              <w:t>http://creativecommons.org/licenses/by/4.0/).</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E008F" id="_x0000_t202" coordsize="21600,21600" o:spt="202" path="m,l,21600r21600,l21600,xe">
                <v:stroke joinstyle="miter"/>
                <v:path gradientshapeok="t" o:connecttype="rect"/>
              </v:shapetype>
              <v:shape id="Text Box 15" o:spid="_x0000_s1028" type="#_x0000_t202" style="position:absolute;left:0;text-align:left;margin-left:97.25pt;margin-top:9.15pt;width:331.5pt;height: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" stroked="f">
                <v:textbox inset=".5mm,,.5mm">
                  <w:txbxContent>
                    <w:p w14:paraId="17221796" w14:textId="77777777" w:rsidR="00D75B08" w:rsidRPr="00E13C05" w:rsidRDefault="00D75B08" w:rsidP="00D75B08">
                      <w:pPr>
                        <w:adjustRightInd w:val="0"/>
                        <w:jc w:val="both"/>
                        <w:rPr>
                          <w:sz w:val="20"/>
                          <w:szCs w:val="20"/>
                        </w:rPr>
                      </w:pPr>
                      <w:r w:rsidRPr="00E13C05">
                        <w:rPr>
                          <w:color w:val="000000"/>
                          <w:sz w:val="20"/>
                          <w:szCs w:val="20"/>
                          <w:lang w:eastAsia="id-ID"/>
                        </w:rPr>
                        <w:t xml:space="preserve">© 2020 by the authors. Licensee JPPD, Indonesia. This article is an open-access article distributed under the terms and conditions of the Creative Commons Attribution (CC BY) </w:t>
                      </w:r>
                      <w:proofErr w:type="gramStart"/>
                      <w:r w:rsidRPr="00E13C05">
                        <w:rPr>
                          <w:color w:val="000000"/>
                          <w:sz w:val="20"/>
                          <w:szCs w:val="20"/>
                          <w:lang w:eastAsia="id-ID"/>
                        </w:rPr>
                        <w:t>license  (</w:t>
                      </w:r>
                      <w:proofErr w:type="gramEnd"/>
                      <w:r w:rsidRPr="00E13C05">
                        <w:rPr>
                          <w:color w:val="000000"/>
                          <w:sz w:val="20"/>
                          <w:szCs w:val="20"/>
                          <w:lang w:eastAsia="id-ID"/>
                        </w:rPr>
                        <w:t>http://creativecommons.org/licenses/by/4.0/).</w:t>
                      </w:r>
                    </w:p>
                  </w:txbxContent>
                </v:textbox>
              </v:shape>
            </w:pict>
          </mc:Fallback>
        </mc:AlternateContent>
      </w:r>
      <w:r>
        <w:rPr>
          <w:noProof/>
        </w:rPr>
        <mc:AlternateContent>
          <mc:Choice Requires="wps">
            <w:drawing>
              <wp:anchor distT="0" distB="0" distL="114300" distR="114300" simplePos="0" relativeHeight="251664896" behindDoc="1" locked="0" layoutInCell="1" allowOverlap="1" wp14:anchorId="501530DB" wp14:editId="58000FEF">
                <wp:simplePos x="0" y="0"/>
                <wp:positionH relativeFrom="column">
                  <wp:posOffset>-60325</wp:posOffset>
                </wp:positionH>
                <wp:positionV relativeFrom="paragraph">
                  <wp:posOffset>111760</wp:posOffset>
                </wp:positionV>
                <wp:extent cx="5581650" cy="586740"/>
                <wp:effectExtent l="6350" t="6985" r="12700" b="63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5867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99D27" id="Rectangle 14" o:spid="_x0000_s1026" style="position:absolute;margin-left:-4.75pt;margin-top:8.8pt;width:439.5pt;height:4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" strokecolor="white"/>
            </w:pict>
          </mc:Fallback>
        </mc:AlternateContent>
      </w:r>
    </w:p>
    <w:p w14:paraId="59C58813" w14:textId="77777777" w:rsidR="00D75B08" w:rsidRDefault="00D75B08" w:rsidP="00D75B08">
      <w:pPr>
        <w:overflowPunct w:val="0"/>
        <w:adjustRightInd w:val="0"/>
        <w:ind w:right="-1"/>
      </w:pPr>
      <w:r w:rsidRPr="006F12C5">
        <w:rPr>
          <w:noProof/>
        </w:rPr>
        <w:drawing>
          <wp:inline distT="0" distB="0" distL="0" distR="0" wp14:anchorId="15701D84" wp14:editId="092914B1">
            <wp:extent cx="1190625" cy="4191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419100"/>
                    </a:xfrm>
                    <a:prstGeom prst="rect">
                      <a:avLst/>
                    </a:prstGeom>
                    <a:noFill/>
                    <a:ln>
                      <a:noFill/>
                    </a:ln>
                  </pic:spPr>
                </pic:pic>
              </a:graphicData>
            </a:graphic>
          </wp:inline>
        </w:drawing>
      </w:r>
    </w:p>
    <w:sectPr w:rsidR="00D75B08" w:rsidSect="00445AF9">
      <w:headerReference w:type="default" r:id="rId16"/>
      <w:footerReference w:type="even" r:id="rId17"/>
      <w:footerReference w:type="default" r:id="rId18"/>
      <w:footerReference w:type="first" r:id="rId19"/>
      <w:pgSz w:w="11907" w:h="16840" w:code="9"/>
      <w:pgMar w:top="1701" w:right="1418" w:bottom="1418" w:left="1985" w:header="709" w:footer="709" w:gutter="0"/>
      <w:pgNumType w:start="44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D43CB" w14:textId="77777777" w:rsidR="0095476D" w:rsidRDefault="0095476D">
      <w:r>
        <w:separator/>
      </w:r>
    </w:p>
  </w:endnote>
  <w:endnote w:type="continuationSeparator" w:id="0">
    <w:p w14:paraId="4A4B9EF7" w14:textId="77777777" w:rsidR="0095476D" w:rsidRDefault="0095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mSprings">
    <w:altName w:val="Segoe Prin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Ottawa">
    <w:altName w:val="Segoe Print"/>
    <w:charset w:val="00"/>
    <w:family w:val="auto"/>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7E016" w14:textId="77777777" w:rsidR="00EF4F42" w:rsidRPr="007D140B" w:rsidRDefault="00133624">
    <w:pPr>
      <w:pStyle w:val="Footer"/>
      <w:jc w:val="right"/>
      <w:rPr>
        <w:rFonts w:ascii="Times New Roman" w:hAnsi="Times New Roman"/>
        <w:sz w:val="24"/>
        <w:szCs w:val="24"/>
      </w:rPr>
    </w:pPr>
    <w:r w:rsidRPr="007D140B">
      <w:rPr>
        <w:rFonts w:ascii="Times New Roman" w:hAnsi="Times New Roman"/>
        <w:sz w:val="24"/>
        <w:szCs w:val="24"/>
      </w:rPr>
      <w:fldChar w:fldCharType="begin"/>
    </w:r>
    <w:r w:rsidR="00EF4F42" w:rsidRPr="007D140B">
      <w:rPr>
        <w:rFonts w:ascii="Times New Roman" w:hAnsi="Times New Roman"/>
        <w:sz w:val="24"/>
        <w:szCs w:val="24"/>
      </w:rPr>
      <w:instrText xml:space="preserve"> PAGE   \* MERGEFORMAT </w:instrText>
    </w:r>
    <w:r w:rsidRPr="007D140B">
      <w:rPr>
        <w:rFonts w:ascii="Times New Roman" w:hAnsi="Times New Roman"/>
        <w:sz w:val="24"/>
        <w:szCs w:val="24"/>
      </w:rPr>
      <w:fldChar w:fldCharType="separate"/>
    </w:r>
    <w:r w:rsidR="00EF4F42">
      <w:rPr>
        <w:rFonts w:ascii="Times New Roman" w:hAnsi="Times New Roman"/>
        <w:noProof/>
        <w:sz w:val="24"/>
        <w:szCs w:val="24"/>
      </w:rPr>
      <w:t>60</w:t>
    </w:r>
    <w:r w:rsidRPr="007D140B">
      <w:rPr>
        <w:rFonts w:ascii="Times New Roman" w:hAnsi="Times New Roman"/>
        <w:sz w:val="24"/>
        <w:szCs w:val="24"/>
      </w:rPr>
      <w:fldChar w:fldCharType="end"/>
    </w:r>
  </w:p>
  <w:p w14:paraId="1BAC91E6" w14:textId="77777777" w:rsidR="00EF4F42" w:rsidRDefault="00EF4F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B7A82" w14:textId="3A30A699" w:rsidR="00EF4F42" w:rsidRPr="00F04CC0" w:rsidRDefault="00133624">
    <w:pPr>
      <w:pStyle w:val="Footer"/>
      <w:jc w:val="right"/>
      <w:rPr>
        <w:rFonts w:ascii="Times New Roman" w:hAnsi="Times New Roman"/>
        <w:sz w:val="24"/>
        <w:szCs w:val="24"/>
      </w:rPr>
    </w:pPr>
    <w:r w:rsidRPr="00F04CC0">
      <w:rPr>
        <w:rFonts w:ascii="Times New Roman" w:hAnsi="Times New Roman"/>
        <w:sz w:val="24"/>
        <w:szCs w:val="24"/>
      </w:rPr>
      <w:fldChar w:fldCharType="begin"/>
    </w:r>
    <w:r w:rsidR="00EF4F42" w:rsidRPr="00F04CC0">
      <w:rPr>
        <w:rFonts w:ascii="Times New Roman" w:hAnsi="Times New Roman"/>
        <w:sz w:val="24"/>
        <w:szCs w:val="24"/>
      </w:rPr>
      <w:instrText xml:space="preserve"> PAGE   \* MERGEFORMAT </w:instrText>
    </w:r>
    <w:r w:rsidRPr="00F04CC0">
      <w:rPr>
        <w:rFonts w:ascii="Times New Roman" w:hAnsi="Times New Roman"/>
        <w:sz w:val="24"/>
        <w:szCs w:val="24"/>
      </w:rPr>
      <w:fldChar w:fldCharType="separate"/>
    </w:r>
    <w:r w:rsidR="000F0900">
      <w:rPr>
        <w:rFonts w:ascii="Times New Roman" w:hAnsi="Times New Roman"/>
        <w:noProof/>
        <w:sz w:val="24"/>
        <w:szCs w:val="24"/>
      </w:rPr>
      <w:t>1</w:t>
    </w:r>
    <w:r w:rsidRPr="00F04CC0">
      <w:rPr>
        <w:rFonts w:ascii="Times New Roman" w:hAnsi="Times New Roman"/>
        <w:sz w:val="24"/>
        <w:szCs w:val="24"/>
      </w:rPr>
      <w:fldChar w:fldCharType="end"/>
    </w:r>
  </w:p>
  <w:p w14:paraId="06A7B169" w14:textId="77777777" w:rsidR="00EF4F42" w:rsidRPr="00D83133" w:rsidRDefault="00EF4F42" w:rsidP="00D831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FA380" w14:textId="77777777" w:rsidR="00EF4F42" w:rsidRPr="00C20ED0" w:rsidRDefault="00133624">
    <w:pPr>
      <w:pStyle w:val="Footer"/>
      <w:jc w:val="right"/>
      <w:rPr>
        <w:rFonts w:ascii="Times New Roman" w:hAnsi="Times New Roman"/>
        <w:sz w:val="24"/>
        <w:szCs w:val="24"/>
      </w:rPr>
    </w:pPr>
    <w:r w:rsidRPr="00C20ED0">
      <w:rPr>
        <w:rFonts w:ascii="Times New Roman" w:hAnsi="Times New Roman"/>
        <w:sz w:val="24"/>
        <w:szCs w:val="24"/>
      </w:rPr>
      <w:fldChar w:fldCharType="begin"/>
    </w:r>
    <w:r w:rsidR="00EF4F42" w:rsidRPr="00C20ED0">
      <w:rPr>
        <w:rFonts w:ascii="Times New Roman" w:hAnsi="Times New Roman"/>
        <w:sz w:val="24"/>
        <w:szCs w:val="24"/>
      </w:rPr>
      <w:instrText xml:space="preserve"> PAGE   \* MERGEFORMAT </w:instrText>
    </w:r>
    <w:r w:rsidRPr="00C20ED0">
      <w:rPr>
        <w:rFonts w:ascii="Times New Roman" w:hAnsi="Times New Roman"/>
        <w:sz w:val="24"/>
        <w:szCs w:val="24"/>
      </w:rPr>
      <w:fldChar w:fldCharType="separate"/>
    </w:r>
    <w:r w:rsidR="00EF4F42">
      <w:rPr>
        <w:rFonts w:ascii="Times New Roman" w:hAnsi="Times New Roman"/>
        <w:noProof/>
        <w:sz w:val="24"/>
        <w:szCs w:val="24"/>
      </w:rPr>
      <w:t>77</w:t>
    </w:r>
    <w:r w:rsidRPr="00C20ED0">
      <w:rPr>
        <w:rFonts w:ascii="Times New Roman" w:hAnsi="Times New Roman"/>
        <w:sz w:val="24"/>
        <w:szCs w:val="24"/>
      </w:rPr>
      <w:fldChar w:fldCharType="end"/>
    </w:r>
  </w:p>
  <w:p w14:paraId="0AF02CD6" w14:textId="77777777" w:rsidR="00EF4F42" w:rsidRDefault="00EF4F42">
    <w:pPr>
      <w:widowControl/>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0C132" w14:textId="77777777" w:rsidR="0095476D" w:rsidRDefault="0095476D">
      <w:r>
        <w:separator/>
      </w:r>
    </w:p>
  </w:footnote>
  <w:footnote w:type="continuationSeparator" w:id="0">
    <w:p w14:paraId="6C366BA4" w14:textId="77777777" w:rsidR="0095476D" w:rsidRDefault="00954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6BA78" w14:textId="7100C6EB" w:rsidR="00EF4F42" w:rsidRDefault="00874B30">
    <w:r>
      <w:rPr>
        <w:noProof/>
      </w:rPr>
      <mc:AlternateContent>
        <mc:Choice Requires="wps">
          <w:drawing>
            <wp:anchor distT="0" distB="0" distL="114300" distR="114300" simplePos="0" relativeHeight="251659264" behindDoc="0" locked="0" layoutInCell="1" allowOverlap="1" wp14:anchorId="45DC27E5" wp14:editId="31EBA7B4">
              <wp:simplePos x="0" y="0"/>
              <wp:positionH relativeFrom="page">
                <wp:posOffset>-32385</wp:posOffset>
              </wp:positionH>
              <wp:positionV relativeFrom="paragraph">
                <wp:posOffset>-165735</wp:posOffset>
              </wp:positionV>
              <wp:extent cx="7620000" cy="301625"/>
              <wp:effectExtent l="0" t="0" r="19050" b="2222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301625"/>
                      </a:xfrm>
                      <a:prstGeom prst="rect">
                        <a:avLst/>
                      </a:prstGeom>
                      <a:solidFill>
                        <a:srgbClr val="FFFFFF"/>
                      </a:solidFill>
                      <a:ln w="9525">
                        <a:solidFill>
                          <a:srgbClr val="000000"/>
                        </a:solidFill>
                        <a:miter lim="800000"/>
                        <a:headEnd/>
                        <a:tailEnd/>
                      </a:ln>
                    </wps:spPr>
                    <wps:txbx>
                      <w:txbxContent>
                        <w:p w14:paraId="0EF74795" w14:textId="77777777" w:rsidR="00874B30" w:rsidRPr="00AF6722" w:rsidRDefault="00874B30" w:rsidP="00874B30">
                          <w:pPr>
                            <w:rPr>
                              <w:b/>
                              <w:sz w:val="17"/>
                              <w:szCs w:val="17"/>
                            </w:rPr>
                          </w:pPr>
                          <w:r>
                            <w:rPr>
                              <w:b/>
                              <w:sz w:val="17"/>
                              <w:szCs w:val="17"/>
                            </w:rPr>
                            <w:t xml:space="preserve">                  </w:t>
                          </w:r>
                          <w:proofErr w:type="spellStart"/>
                          <w:r w:rsidRPr="00AF6722">
                            <w:rPr>
                              <w:b/>
                              <w:sz w:val="17"/>
                              <w:szCs w:val="17"/>
                            </w:rPr>
                            <w:t>Jurnal</w:t>
                          </w:r>
                          <w:proofErr w:type="spellEnd"/>
                          <w:r w:rsidRPr="00AF6722">
                            <w:rPr>
                              <w:b/>
                              <w:sz w:val="17"/>
                              <w:szCs w:val="17"/>
                            </w:rPr>
                            <w:t xml:space="preserve"> </w:t>
                          </w:r>
                          <w:proofErr w:type="spellStart"/>
                          <w:r w:rsidRPr="00AF6722">
                            <w:rPr>
                              <w:b/>
                              <w:sz w:val="17"/>
                              <w:szCs w:val="17"/>
                            </w:rPr>
                            <w:t>Perspektif</w:t>
                          </w:r>
                          <w:proofErr w:type="spellEnd"/>
                          <w:r w:rsidRPr="00AF6722">
                            <w:rPr>
                              <w:b/>
                              <w:sz w:val="17"/>
                              <w:szCs w:val="17"/>
                            </w:rPr>
                            <w:t xml:space="preserve"> </w:t>
                          </w:r>
                          <w:proofErr w:type="spellStart"/>
                          <w:r w:rsidRPr="00AF6722">
                            <w:rPr>
                              <w:b/>
                              <w:sz w:val="17"/>
                              <w:szCs w:val="17"/>
                            </w:rPr>
                            <w:t>Pembiayaan</w:t>
                          </w:r>
                          <w:proofErr w:type="spellEnd"/>
                          <w:r w:rsidRPr="00AF6722">
                            <w:rPr>
                              <w:b/>
                              <w:sz w:val="17"/>
                              <w:szCs w:val="17"/>
                            </w:rPr>
                            <w:t xml:space="preserve"> dan Pembangunan Daerah Vol. 8 No. </w:t>
                          </w:r>
                          <w:r>
                            <w:rPr>
                              <w:b/>
                              <w:sz w:val="17"/>
                              <w:szCs w:val="17"/>
                            </w:rPr>
                            <w:t>5</w:t>
                          </w:r>
                          <w:r w:rsidRPr="00AF6722">
                            <w:rPr>
                              <w:b/>
                              <w:sz w:val="17"/>
                              <w:szCs w:val="17"/>
                            </w:rPr>
                            <w:t xml:space="preserve">, </w:t>
                          </w:r>
                          <w:r>
                            <w:rPr>
                              <w:b/>
                              <w:sz w:val="17"/>
                              <w:szCs w:val="17"/>
                            </w:rPr>
                            <w:t>November</w:t>
                          </w:r>
                          <w:r w:rsidRPr="00AF6722">
                            <w:rPr>
                              <w:b/>
                              <w:sz w:val="17"/>
                              <w:szCs w:val="17"/>
                            </w:rPr>
                            <w:t xml:space="preserve"> – </w:t>
                          </w:r>
                          <w:r>
                            <w:rPr>
                              <w:b/>
                              <w:sz w:val="17"/>
                              <w:szCs w:val="17"/>
                            </w:rPr>
                            <w:t xml:space="preserve">December </w:t>
                          </w:r>
                          <w:r w:rsidRPr="00AF6722">
                            <w:rPr>
                              <w:b/>
                              <w:sz w:val="17"/>
                              <w:szCs w:val="17"/>
                            </w:rPr>
                            <w:t>2020   ISSN: 2338-4603 (print); 2355-8520 (online)</w:t>
                          </w:r>
                        </w:p>
                        <w:p w14:paraId="3F81C8CA" w14:textId="77777777" w:rsidR="00874B30" w:rsidRPr="00112C3E" w:rsidRDefault="00874B30" w:rsidP="00874B30">
                          <w:pPr>
                            <w:rPr>
                              <w:b/>
                              <w:color w:val="0020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C27E5" id="Rectangle 8" o:spid="_x0000_s1028" style="position:absolute;margin-left:-2.55pt;margin-top:-13.05pt;width:600pt;height:2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">
              <v:textbox>
                <w:txbxContent>
                  <w:p w14:paraId="0EF74795" w14:textId="77777777" w:rsidR="00874B30" w:rsidRPr="00AF6722" w:rsidRDefault="00874B30" w:rsidP="00874B30">
                    <w:pPr>
                      <w:rPr>
                        <w:b/>
                        <w:sz w:val="17"/>
                        <w:szCs w:val="17"/>
                      </w:rPr>
                    </w:pPr>
                    <w:r>
                      <w:rPr>
                        <w:b/>
                        <w:sz w:val="17"/>
                        <w:szCs w:val="17"/>
                      </w:rPr>
                      <w:t xml:space="preserve">                  </w:t>
                    </w:r>
                    <w:proofErr w:type="spellStart"/>
                    <w:r w:rsidRPr="00AF6722">
                      <w:rPr>
                        <w:b/>
                        <w:sz w:val="17"/>
                        <w:szCs w:val="17"/>
                      </w:rPr>
                      <w:t>Jurnal</w:t>
                    </w:r>
                    <w:proofErr w:type="spellEnd"/>
                    <w:r w:rsidRPr="00AF6722">
                      <w:rPr>
                        <w:b/>
                        <w:sz w:val="17"/>
                        <w:szCs w:val="17"/>
                      </w:rPr>
                      <w:t xml:space="preserve"> </w:t>
                    </w:r>
                    <w:proofErr w:type="spellStart"/>
                    <w:r w:rsidRPr="00AF6722">
                      <w:rPr>
                        <w:b/>
                        <w:sz w:val="17"/>
                        <w:szCs w:val="17"/>
                      </w:rPr>
                      <w:t>Perspektif</w:t>
                    </w:r>
                    <w:proofErr w:type="spellEnd"/>
                    <w:r w:rsidRPr="00AF6722">
                      <w:rPr>
                        <w:b/>
                        <w:sz w:val="17"/>
                        <w:szCs w:val="17"/>
                      </w:rPr>
                      <w:t xml:space="preserve"> </w:t>
                    </w:r>
                    <w:proofErr w:type="spellStart"/>
                    <w:r w:rsidRPr="00AF6722">
                      <w:rPr>
                        <w:b/>
                        <w:sz w:val="17"/>
                        <w:szCs w:val="17"/>
                      </w:rPr>
                      <w:t>Pembiayaan</w:t>
                    </w:r>
                    <w:proofErr w:type="spellEnd"/>
                    <w:r w:rsidRPr="00AF6722">
                      <w:rPr>
                        <w:b/>
                        <w:sz w:val="17"/>
                        <w:szCs w:val="17"/>
                      </w:rPr>
                      <w:t xml:space="preserve"> dan Pembangunan Daerah Vol. 8 No. </w:t>
                    </w:r>
                    <w:r>
                      <w:rPr>
                        <w:b/>
                        <w:sz w:val="17"/>
                        <w:szCs w:val="17"/>
                      </w:rPr>
                      <w:t>5</w:t>
                    </w:r>
                    <w:r w:rsidRPr="00AF6722">
                      <w:rPr>
                        <w:b/>
                        <w:sz w:val="17"/>
                        <w:szCs w:val="17"/>
                      </w:rPr>
                      <w:t xml:space="preserve">, </w:t>
                    </w:r>
                    <w:r>
                      <w:rPr>
                        <w:b/>
                        <w:sz w:val="17"/>
                        <w:szCs w:val="17"/>
                      </w:rPr>
                      <w:t>November</w:t>
                    </w:r>
                    <w:r w:rsidRPr="00AF6722">
                      <w:rPr>
                        <w:b/>
                        <w:sz w:val="17"/>
                        <w:szCs w:val="17"/>
                      </w:rPr>
                      <w:t xml:space="preserve"> – </w:t>
                    </w:r>
                    <w:r>
                      <w:rPr>
                        <w:b/>
                        <w:sz w:val="17"/>
                        <w:szCs w:val="17"/>
                      </w:rPr>
                      <w:t xml:space="preserve">December </w:t>
                    </w:r>
                    <w:r w:rsidRPr="00AF6722">
                      <w:rPr>
                        <w:b/>
                        <w:sz w:val="17"/>
                        <w:szCs w:val="17"/>
                      </w:rPr>
                      <w:t>2020   ISSN: 2338-4603 (print); 2355-8520 (online)</w:t>
                    </w:r>
                  </w:p>
                  <w:p w14:paraId="3F81C8CA" w14:textId="77777777" w:rsidR="00874B30" w:rsidRPr="00112C3E" w:rsidRDefault="00874B30" w:rsidP="00874B30">
                    <w:pPr>
                      <w:rPr>
                        <w:b/>
                        <w:color w:val="002060"/>
                      </w:rP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9CC3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733EC"/>
    <w:multiLevelType w:val="hybridMultilevel"/>
    <w:tmpl w:val="CA74420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62577B6"/>
    <w:multiLevelType w:val="hybridMultilevel"/>
    <w:tmpl w:val="8DDA6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A035C"/>
    <w:multiLevelType w:val="hybridMultilevel"/>
    <w:tmpl w:val="1EB8D3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56650"/>
    <w:multiLevelType w:val="hybridMultilevel"/>
    <w:tmpl w:val="D422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96A03"/>
    <w:multiLevelType w:val="hybridMultilevel"/>
    <w:tmpl w:val="6B2A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C1308"/>
    <w:multiLevelType w:val="hybridMultilevel"/>
    <w:tmpl w:val="8DDA6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706E9"/>
    <w:multiLevelType w:val="hybridMultilevel"/>
    <w:tmpl w:val="FA9A6CF6"/>
    <w:lvl w:ilvl="0" w:tplc="90DA9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A407F"/>
    <w:multiLevelType w:val="hybridMultilevel"/>
    <w:tmpl w:val="FA9A6CF6"/>
    <w:lvl w:ilvl="0" w:tplc="90DA9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366B5"/>
    <w:multiLevelType w:val="hybridMultilevel"/>
    <w:tmpl w:val="0C626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5941F1"/>
    <w:multiLevelType w:val="hybridMultilevel"/>
    <w:tmpl w:val="9274173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28BD0D2C"/>
    <w:multiLevelType w:val="hybridMultilevel"/>
    <w:tmpl w:val="14C40CA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977032D"/>
    <w:multiLevelType w:val="hybridMultilevel"/>
    <w:tmpl w:val="C1402C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9A7C59"/>
    <w:multiLevelType w:val="hybridMultilevel"/>
    <w:tmpl w:val="05969C6A"/>
    <w:lvl w:ilvl="0" w:tplc="6F9043C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EAB21A7"/>
    <w:multiLevelType w:val="hybridMultilevel"/>
    <w:tmpl w:val="90ACBE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FF21E30"/>
    <w:multiLevelType w:val="multilevel"/>
    <w:tmpl w:val="260038D8"/>
    <w:lvl w:ilvl="0">
      <w:start w:val="1"/>
      <w:numFmt w:val="decimal"/>
      <w:lvlText w:val="%1."/>
      <w:lvlJc w:val="left"/>
      <w:pPr>
        <w:tabs>
          <w:tab w:val="num" w:pos="720"/>
        </w:tabs>
        <w:ind w:left="720" w:hanging="360"/>
      </w:pPr>
      <w:rPr>
        <w:rFonts w:cs="Times New Roman"/>
        <w:color w:val="000000"/>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319B321E"/>
    <w:multiLevelType w:val="hybridMultilevel"/>
    <w:tmpl w:val="6CA09940"/>
    <w:lvl w:ilvl="0" w:tplc="783E5202">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27CBC"/>
    <w:multiLevelType w:val="hybridMultilevel"/>
    <w:tmpl w:val="1F7EAE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47E10F6"/>
    <w:multiLevelType w:val="hybridMultilevel"/>
    <w:tmpl w:val="65D65456"/>
    <w:lvl w:ilvl="0" w:tplc="11D0A85C">
      <w:start w:val="3"/>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88BBE39"/>
    <w:multiLevelType w:val="multilevel"/>
    <w:tmpl w:val="260038D8"/>
    <w:lvl w:ilvl="0">
      <w:start w:val="1"/>
      <w:numFmt w:val="decimal"/>
      <w:lvlText w:val="%1."/>
      <w:lvlJc w:val="left"/>
      <w:pPr>
        <w:tabs>
          <w:tab w:val="num" w:pos="720"/>
        </w:tabs>
        <w:ind w:left="720" w:hanging="360"/>
      </w:pPr>
      <w:rPr>
        <w:rFonts w:cs="Times New Roman"/>
        <w:color w:val="000000"/>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15:restartNumberingAfterBreak="0">
    <w:nsid w:val="38903B7D"/>
    <w:multiLevelType w:val="hybridMultilevel"/>
    <w:tmpl w:val="E8D00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CF395D"/>
    <w:multiLevelType w:val="hybridMultilevel"/>
    <w:tmpl w:val="345ABE8E"/>
    <w:lvl w:ilvl="0" w:tplc="07F21BD6">
      <w:start w:val="2"/>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0570F38"/>
    <w:multiLevelType w:val="hybridMultilevel"/>
    <w:tmpl w:val="359C2C24"/>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42561337"/>
    <w:multiLevelType w:val="hybridMultilevel"/>
    <w:tmpl w:val="268887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51326A8"/>
    <w:multiLevelType w:val="hybridMultilevel"/>
    <w:tmpl w:val="5E762B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6835C30"/>
    <w:multiLevelType w:val="hybridMultilevel"/>
    <w:tmpl w:val="55F05A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6A67FDC"/>
    <w:multiLevelType w:val="hybridMultilevel"/>
    <w:tmpl w:val="A7CE0BD2"/>
    <w:lvl w:ilvl="0" w:tplc="CB08AC9C">
      <w:start w:val="1"/>
      <w:numFmt w:val="decimal"/>
      <w:lvlText w:val="%1."/>
      <w:lvlJc w:val="left"/>
      <w:pPr>
        <w:ind w:left="720" w:hanging="360"/>
      </w:pPr>
      <w:rPr>
        <w:b w:val="0"/>
        <w:i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15:restartNumberingAfterBreak="0">
    <w:nsid w:val="47216DE9"/>
    <w:multiLevelType w:val="multilevel"/>
    <w:tmpl w:val="9468FD36"/>
    <w:lvl w:ilvl="0">
      <w:start w:val="1"/>
      <w:numFmt w:val="decimal"/>
      <w:lvlText w:val="%1."/>
      <w:lvlJc w:val="left"/>
      <w:pPr>
        <w:tabs>
          <w:tab w:val="num" w:pos="360"/>
        </w:tabs>
        <w:ind w:left="360" w:hanging="360"/>
      </w:pPr>
      <w:rPr>
        <w:rFonts w:cs="Times New Roman"/>
        <w:color w:val="000000"/>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E3A3F8E"/>
    <w:multiLevelType w:val="hybridMultilevel"/>
    <w:tmpl w:val="EC6218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08F5535"/>
    <w:multiLevelType w:val="hybridMultilevel"/>
    <w:tmpl w:val="4F085D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1F61C06"/>
    <w:multiLevelType w:val="hybridMultilevel"/>
    <w:tmpl w:val="904C16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7843155"/>
    <w:multiLevelType w:val="hybridMultilevel"/>
    <w:tmpl w:val="681A45F4"/>
    <w:lvl w:ilvl="0" w:tplc="FD4AC628">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15:restartNumberingAfterBreak="0">
    <w:nsid w:val="5A331B2E"/>
    <w:multiLevelType w:val="hybridMultilevel"/>
    <w:tmpl w:val="C90A3BF4"/>
    <w:lvl w:ilvl="0" w:tplc="40BE49C6">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C77BD9"/>
    <w:multiLevelType w:val="hybridMultilevel"/>
    <w:tmpl w:val="42BCA3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DCB7DD3"/>
    <w:multiLevelType w:val="hybridMultilevel"/>
    <w:tmpl w:val="DDD273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0FB447F"/>
    <w:multiLevelType w:val="hybridMultilevel"/>
    <w:tmpl w:val="7D407692"/>
    <w:lvl w:ilvl="0" w:tplc="8182BB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2A41F8"/>
    <w:multiLevelType w:val="hybridMultilevel"/>
    <w:tmpl w:val="B7747E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2511AC4"/>
    <w:multiLevelType w:val="hybridMultilevel"/>
    <w:tmpl w:val="16FC449E"/>
    <w:lvl w:ilvl="0" w:tplc="04090019">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8" w15:restartNumberingAfterBreak="0">
    <w:nsid w:val="625522B9"/>
    <w:multiLevelType w:val="hybridMultilevel"/>
    <w:tmpl w:val="EE64FEBA"/>
    <w:lvl w:ilvl="0" w:tplc="B24822BE">
      <w:start w:val="1"/>
      <w:numFmt w:val="decimal"/>
      <w:lvlText w:val="%1."/>
      <w:lvlJc w:val="left"/>
      <w:pPr>
        <w:tabs>
          <w:tab w:val="num" w:pos="720"/>
        </w:tabs>
        <w:ind w:left="720" w:hanging="360"/>
      </w:pPr>
    </w:lvl>
    <w:lvl w:ilvl="1" w:tplc="1DBC3FBE">
      <w:numFmt w:val="none"/>
      <w:lvlText w:val=""/>
      <w:lvlJc w:val="left"/>
      <w:pPr>
        <w:tabs>
          <w:tab w:val="num" w:pos="360"/>
        </w:tabs>
        <w:ind w:left="0" w:firstLine="0"/>
      </w:pPr>
    </w:lvl>
    <w:lvl w:ilvl="2" w:tplc="B1F217B0">
      <w:numFmt w:val="none"/>
      <w:lvlText w:val=""/>
      <w:lvlJc w:val="left"/>
      <w:pPr>
        <w:tabs>
          <w:tab w:val="num" w:pos="360"/>
        </w:tabs>
        <w:ind w:left="0" w:firstLine="0"/>
      </w:pPr>
    </w:lvl>
    <w:lvl w:ilvl="3" w:tplc="131C9996">
      <w:numFmt w:val="none"/>
      <w:lvlText w:val=""/>
      <w:lvlJc w:val="left"/>
      <w:pPr>
        <w:tabs>
          <w:tab w:val="num" w:pos="360"/>
        </w:tabs>
        <w:ind w:left="0" w:firstLine="0"/>
      </w:pPr>
    </w:lvl>
    <w:lvl w:ilvl="4" w:tplc="A5869E8A">
      <w:numFmt w:val="none"/>
      <w:lvlText w:val=""/>
      <w:lvlJc w:val="left"/>
      <w:pPr>
        <w:tabs>
          <w:tab w:val="num" w:pos="360"/>
        </w:tabs>
        <w:ind w:left="0" w:firstLine="0"/>
      </w:pPr>
    </w:lvl>
    <w:lvl w:ilvl="5" w:tplc="98765A0E">
      <w:numFmt w:val="none"/>
      <w:lvlText w:val=""/>
      <w:lvlJc w:val="left"/>
      <w:pPr>
        <w:tabs>
          <w:tab w:val="num" w:pos="360"/>
        </w:tabs>
        <w:ind w:left="0" w:firstLine="0"/>
      </w:pPr>
    </w:lvl>
    <w:lvl w:ilvl="6" w:tplc="389E7986">
      <w:numFmt w:val="none"/>
      <w:lvlText w:val=""/>
      <w:lvlJc w:val="left"/>
      <w:pPr>
        <w:tabs>
          <w:tab w:val="num" w:pos="360"/>
        </w:tabs>
        <w:ind w:left="0" w:firstLine="0"/>
      </w:pPr>
    </w:lvl>
    <w:lvl w:ilvl="7" w:tplc="85440DF2">
      <w:numFmt w:val="none"/>
      <w:lvlText w:val=""/>
      <w:lvlJc w:val="left"/>
      <w:pPr>
        <w:tabs>
          <w:tab w:val="num" w:pos="360"/>
        </w:tabs>
        <w:ind w:left="0" w:firstLine="0"/>
      </w:pPr>
    </w:lvl>
    <w:lvl w:ilvl="8" w:tplc="8362EE46">
      <w:numFmt w:val="none"/>
      <w:lvlText w:val=""/>
      <w:lvlJc w:val="left"/>
      <w:pPr>
        <w:tabs>
          <w:tab w:val="num" w:pos="360"/>
        </w:tabs>
        <w:ind w:left="0" w:firstLine="0"/>
      </w:pPr>
    </w:lvl>
  </w:abstractNum>
  <w:abstractNum w:abstractNumId="39" w15:restartNumberingAfterBreak="0">
    <w:nsid w:val="628C6B3D"/>
    <w:multiLevelType w:val="hybridMultilevel"/>
    <w:tmpl w:val="A6EA0C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15:restartNumberingAfterBreak="0">
    <w:nsid w:val="75645BD3"/>
    <w:multiLevelType w:val="hybridMultilevel"/>
    <w:tmpl w:val="F2C619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A93434"/>
    <w:multiLevelType w:val="hybridMultilevel"/>
    <w:tmpl w:val="02A86800"/>
    <w:lvl w:ilvl="0" w:tplc="D338A2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CC6BBA"/>
    <w:multiLevelType w:val="hybridMultilevel"/>
    <w:tmpl w:val="33E0946E"/>
    <w:lvl w:ilvl="0" w:tplc="E48C4D1A">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A8B747D"/>
    <w:multiLevelType w:val="hybridMultilevel"/>
    <w:tmpl w:val="B75AA0E4"/>
    <w:lvl w:ilvl="0" w:tplc="F3745964">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4" w15:restartNumberingAfterBreak="0">
    <w:nsid w:val="7AE15536"/>
    <w:multiLevelType w:val="hybridMultilevel"/>
    <w:tmpl w:val="FA9A6CF6"/>
    <w:lvl w:ilvl="0" w:tplc="90DA9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1E7257"/>
    <w:multiLevelType w:val="hybridMultilevel"/>
    <w:tmpl w:val="CAEC7BF6"/>
    <w:lvl w:ilvl="0" w:tplc="DE560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9"/>
  </w:num>
  <w:num w:numId="3">
    <w:abstractNumId w:val="16"/>
  </w:num>
  <w:num w:numId="4">
    <w:abstractNumId w:val="45"/>
  </w:num>
  <w:num w:numId="5">
    <w:abstractNumId w:val="8"/>
  </w:num>
  <w:num w:numId="6">
    <w:abstractNumId w:val="7"/>
  </w:num>
  <w:num w:numId="7">
    <w:abstractNumId w:val="20"/>
  </w:num>
  <w:num w:numId="8">
    <w:abstractNumId w:val="37"/>
  </w:num>
  <w:num w:numId="9">
    <w:abstractNumId w:val="1"/>
  </w:num>
  <w:num w:numId="10">
    <w:abstractNumId w:val="9"/>
  </w:num>
  <w:num w:numId="11">
    <w:abstractNumId w:val="4"/>
  </w:num>
  <w:num w:numId="12">
    <w:abstractNumId w:val="43"/>
  </w:num>
  <w:num w:numId="13">
    <w:abstractNumId w:val="22"/>
  </w:num>
  <w:num w:numId="14">
    <w:abstractNumId w:val="5"/>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
  </w:num>
  <w:num w:numId="20">
    <w:abstractNumId w:val="6"/>
  </w:num>
  <w:num w:numId="21">
    <w:abstractNumId w:val="3"/>
  </w:num>
  <w:num w:numId="22">
    <w:abstractNumId w:val="35"/>
  </w:num>
  <w:num w:numId="23">
    <w:abstractNumId w:val="12"/>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10"/>
  </w:num>
  <w:num w:numId="27">
    <w:abstractNumId w:val="44"/>
  </w:num>
  <w:num w:numId="28">
    <w:abstractNumId w:val="15"/>
  </w:num>
  <w:num w:numId="29">
    <w:abstractNumId w:val="41"/>
  </w:num>
  <w:num w:numId="30">
    <w:abstractNumId w:val="38"/>
    <w:lvlOverride w:ilvl="0">
      <w:startOverride w:val="1"/>
    </w:lvlOverride>
    <w:lvlOverride w:ilvl="1"/>
    <w:lvlOverride w:ilvl="2"/>
    <w:lvlOverride w:ilvl="3"/>
    <w:lvlOverride w:ilvl="4"/>
    <w:lvlOverride w:ilvl="5"/>
    <w:lvlOverride w:ilvl="6"/>
    <w:lvlOverride w:ilvl="7"/>
    <w:lvlOverride w:ilvl="8"/>
  </w:num>
  <w:num w:numId="31">
    <w:abstractNumId w:val="28"/>
  </w:num>
  <w:num w:numId="32">
    <w:abstractNumId w:val="25"/>
  </w:num>
  <w:num w:numId="33">
    <w:abstractNumId w:val="36"/>
  </w:num>
  <w:num w:numId="34">
    <w:abstractNumId w:val="33"/>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1"/>
  </w:num>
  <w:num w:numId="38">
    <w:abstractNumId w:val="30"/>
  </w:num>
  <w:num w:numId="39">
    <w:abstractNumId w:val="24"/>
  </w:num>
  <w:num w:numId="40">
    <w:abstractNumId w:val="34"/>
  </w:num>
  <w:num w:numId="41">
    <w:abstractNumId w:val="42"/>
  </w:num>
  <w:num w:numId="42">
    <w:abstractNumId w:val="11"/>
  </w:num>
  <w:num w:numId="43">
    <w:abstractNumId w:val="23"/>
  </w:num>
  <w:num w:numId="44">
    <w:abstractNumId w:val="29"/>
  </w:num>
  <w:num w:numId="45">
    <w:abstractNumId w:val="39"/>
  </w:num>
  <w:num w:numId="46">
    <w:abstractNumId w:val="17"/>
  </w:num>
  <w:num w:numId="47">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2BGEjcwMDQxMjJR2l4NTi4sz8PJAC81oAI0drWiwAAAA="/>
  </w:docVars>
  <w:rsids>
    <w:rsidRoot w:val="00A314A0"/>
    <w:rsid w:val="00001179"/>
    <w:rsid w:val="00002637"/>
    <w:rsid w:val="00002EBE"/>
    <w:rsid w:val="0000343E"/>
    <w:rsid w:val="00003444"/>
    <w:rsid w:val="00004B57"/>
    <w:rsid w:val="00011673"/>
    <w:rsid w:val="00012FA4"/>
    <w:rsid w:val="00013DC7"/>
    <w:rsid w:val="0001554F"/>
    <w:rsid w:val="00015617"/>
    <w:rsid w:val="000165F9"/>
    <w:rsid w:val="00017EDD"/>
    <w:rsid w:val="00024069"/>
    <w:rsid w:val="000270CF"/>
    <w:rsid w:val="00032FB5"/>
    <w:rsid w:val="000342C1"/>
    <w:rsid w:val="00034D4A"/>
    <w:rsid w:val="000374FF"/>
    <w:rsid w:val="0003755C"/>
    <w:rsid w:val="00037F8A"/>
    <w:rsid w:val="00040245"/>
    <w:rsid w:val="0004236E"/>
    <w:rsid w:val="000424E0"/>
    <w:rsid w:val="0004562B"/>
    <w:rsid w:val="00046B5B"/>
    <w:rsid w:val="00046D8A"/>
    <w:rsid w:val="00051D2D"/>
    <w:rsid w:val="0005221B"/>
    <w:rsid w:val="0006591D"/>
    <w:rsid w:val="00066761"/>
    <w:rsid w:val="000670CD"/>
    <w:rsid w:val="00067205"/>
    <w:rsid w:val="00070236"/>
    <w:rsid w:val="00070391"/>
    <w:rsid w:val="000711BA"/>
    <w:rsid w:val="000723C3"/>
    <w:rsid w:val="00072D5E"/>
    <w:rsid w:val="00085D2B"/>
    <w:rsid w:val="00093370"/>
    <w:rsid w:val="000949E1"/>
    <w:rsid w:val="000978D9"/>
    <w:rsid w:val="000A1ECE"/>
    <w:rsid w:val="000A6523"/>
    <w:rsid w:val="000A7ED5"/>
    <w:rsid w:val="000B07A5"/>
    <w:rsid w:val="000B1169"/>
    <w:rsid w:val="000B1967"/>
    <w:rsid w:val="000B4E54"/>
    <w:rsid w:val="000B5C26"/>
    <w:rsid w:val="000C020E"/>
    <w:rsid w:val="000C152B"/>
    <w:rsid w:val="000C1A54"/>
    <w:rsid w:val="000C1D26"/>
    <w:rsid w:val="000C6AD8"/>
    <w:rsid w:val="000D386D"/>
    <w:rsid w:val="000D5776"/>
    <w:rsid w:val="000D59C3"/>
    <w:rsid w:val="000E0D6B"/>
    <w:rsid w:val="000E402E"/>
    <w:rsid w:val="000E4273"/>
    <w:rsid w:val="000E5EC1"/>
    <w:rsid w:val="000F0900"/>
    <w:rsid w:val="000F0B28"/>
    <w:rsid w:val="000F11BC"/>
    <w:rsid w:val="000F14B5"/>
    <w:rsid w:val="000F24E8"/>
    <w:rsid w:val="000F3773"/>
    <w:rsid w:val="000F6965"/>
    <w:rsid w:val="001006CA"/>
    <w:rsid w:val="00103EF5"/>
    <w:rsid w:val="00105329"/>
    <w:rsid w:val="00105E57"/>
    <w:rsid w:val="00110448"/>
    <w:rsid w:val="001107A8"/>
    <w:rsid w:val="00111401"/>
    <w:rsid w:val="00113710"/>
    <w:rsid w:val="00113BFC"/>
    <w:rsid w:val="00116786"/>
    <w:rsid w:val="00117F00"/>
    <w:rsid w:val="00121E63"/>
    <w:rsid w:val="00125336"/>
    <w:rsid w:val="00125503"/>
    <w:rsid w:val="0012691C"/>
    <w:rsid w:val="001327B1"/>
    <w:rsid w:val="00133624"/>
    <w:rsid w:val="001336DB"/>
    <w:rsid w:val="00134AB4"/>
    <w:rsid w:val="00135E88"/>
    <w:rsid w:val="00136857"/>
    <w:rsid w:val="0013699B"/>
    <w:rsid w:val="0014248F"/>
    <w:rsid w:val="00145D53"/>
    <w:rsid w:val="001505F0"/>
    <w:rsid w:val="00151317"/>
    <w:rsid w:val="0015287F"/>
    <w:rsid w:val="00152A16"/>
    <w:rsid w:val="00156349"/>
    <w:rsid w:val="00156BEE"/>
    <w:rsid w:val="00157131"/>
    <w:rsid w:val="00157799"/>
    <w:rsid w:val="00157A76"/>
    <w:rsid w:val="00160E35"/>
    <w:rsid w:val="00160F38"/>
    <w:rsid w:val="00161BAA"/>
    <w:rsid w:val="00161D02"/>
    <w:rsid w:val="00163272"/>
    <w:rsid w:val="00170069"/>
    <w:rsid w:val="0017155F"/>
    <w:rsid w:val="00176D84"/>
    <w:rsid w:val="00182E25"/>
    <w:rsid w:val="00184EF7"/>
    <w:rsid w:val="001853ED"/>
    <w:rsid w:val="001905ED"/>
    <w:rsid w:val="00190735"/>
    <w:rsid w:val="00191941"/>
    <w:rsid w:val="00192DDC"/>
    <w:rsid w:val="00193444"/>
    <w:rsid w:val="00194A48"/>
    <w:rsid w:val="001A032A"/>
    <w:rsid w:val="001A1275"/>
    <w:rsid w:val="001A1684"/>
    <w:rsid w:val="001B192F"/>
    <w:rsid w:val="001B4DAF"/>
    <w:rsid w:val="001B6A53"/>
    <w:rsid w:val="001B7335"/>
    <w:rsid w:val="001C05EF"/>
    <w:rsid w:val="001C1B9B"/>
    <w:rsid w:val="001C2D06"/>
    <w:rsid w:val="001C413C"/>
    <w:rsid w:val="001C78BE"/>
    <w:rsid w:val="001C7B93"/>
    <w:rsid w:val="001D1497"/>
    <w:rsid w:val="001D1D67"/>
    <w:rsid w:val="001D56AB"/>
    <w:rsid w:val="001D6B45"/>
    <w:rsid w:val="001D6F23"/>
    <w:rsid w:val="001D7BF6"/>
    <w:rsid w:val="001D7DC8"/>
    <w:rsid w:val="001E30D0"/>
    <w:rsid w:val="001E672F"/>
    <w:rsid w:val="001E6A74"/>
    <w:rsid w:val="001E6F1E"/>
    <w:rsid w:val="001F084B"/>
    <w:rsid w:val="001F0976"/>
    <w:rsid w:val="001F1260"/>
    <w:rsid w:val="001F5E30"/>
    <w:rsid w:val="002011B2"/>
    <w:rsid w:val="0020176C"/>
    <w:rsid w:val="002025FF"/>
    <w:rsid w:val="00203F81"/>
    <w:rsid w:val="00204E47"/>
    <w:rsid w:val="002074C6"/>
    <w:rsid w:val="0021064B"/>
    <w:rsid w:val="00212A55"/>
    <w:rsid w:val="00213949"/>
    <w:rsid w:val="00214C24"/>
    <w:rsid w:val="00215632"/>
    <w:rsid w:val="0022403B"/>
    <w:rsid w:val="00224508"/>
    <w:rsid w:val="00224E5F"/>
    <w:rsid w:val="00225A59"/>
    <w:rsid w:val="002310F6"/>
    <w:rsid w:val="00232CAA"/>
    <w:rsid w:val="00233084"/>
    <w:rsid w:val="00234725"/>
    <w:rsid w:val="00234855"/>
    <w:rsid w:val="002350A9"/>
    <w:rsid w:val="00236845"/>
    <w:rsid w:val="00237651"/>
    <w:rsid w:val="0024004B"/>
    <w:rsid w:val="002417C4"/>
    <w:rsid w:val="00244B7C"/>
    <w:rsid w:val="002505F5"/>
    <w:rsid w:val="00252246"/>
    <w:rsid w:val="0025585B"/>
    <w:rsid w:val="00257061"/>
    <w:rsid w:val="00264B94"/>
    <w:rsid w:val="002673CD"/>
    <w:rsid w:val="00274130"/>
    <w:rsid w:val="00276099"/>
    <w:rsid w:val="00277138"/>
    <w:rsid w:val="00277ED5"/>
    <w:rsid w:val="002802A3"/>
    <w:rsid w:val="002907C7"/>
    <w:rsid w:val="00291CA9"/>
    <w:rsid w:val="00295657"/>
    <w:rsid w:val="00295DD3"/>
    <w:rsid w:val="00296F5D"/>
    <w:rsid w:val="002A18B1"/>
    <w:rsid w:val="002A2F58"/>
    <w:rsid w:val="002A46B6"/>
    <w:rsid w:val="002B03E9"/>
    <w:rsid w:val="002B4DA3"/>
    <w:rsid w:val="002B5E64"/>
    <w:rsid w:val="002C0A7B"/>
    <w:rsid w:val="002C1511"/>
    <w:rsid w:val="002C4995"/>
    <w:rsid w:val="002C4F0D"/>
    <w:rsid w:val="002C604F"/>
    <w:rsid w:val="002D0C3D"/>
    <w:rsid w:val="002D1218"/>
    <w:rsid w:val="002D2F7F"/>
    <w:rsid w:val="002D65BB"/>
    <w:rsid w:val="002E0658"/>
    <w:rsid w:val="002E5276"/>
    <w:rsid w:val="002F25B1"/>
    <w:rsid w:val="002F3D1F"/>
    <w:rsid w:val="002F4906"/>
    <w:rsid w:val="00300737"/>
    <w:rsid w:val="00300980"/>
    <w:rsid w:val="003027C9"/>
    <w:rsid w:val="0030339B"/>
    <w:rsid w:val="00303DFE"/>
    <w:rsid w:val="0031047A"/>
    <w:rsid w:val="00310E95"/>
    <w:rsid w:val="0031170E"/>
    <w:rsid w:val="00316612"/>
    <w:rsid w:val="00317758"/>
    <w:rsid w:val="00320844"/>
    <w:rsid w:val="00320D95"/>
    <w:rsid w:val="003234B2"/>
    <w:rsid w:val="003246C3"/>
    <w:rsid w:val="00324B88"/>
    <w:rsid w:val="00325A3C"/>
    <w:rsid w:val="00326F92"/>
    <w:rsid w:val="0032764D"/>
    <w:rsid w:val="00327B5C"/>
    <w:rsid w:val="00331188"/>
    <w:rsid w:val="00332742"/>
    <w:rsid w:val="00334F7B"/>
    <w:rsid w:val="003408EE"/>
    <w:rsid w:val="00344CBC"/>
    <w:rsid w:val="0034512F"/>
    <w:rsid w:val="0034648C"/>
    <w:rsid w:val="003477F3"/>
    <w:rsid w:val="003507D2"/>
    <w:rsid w:val="0035114A"/>
    <w:rsid w:val="00351BDC"/>
    <w:rsid w:val="0035394C"/>
    <w:rsid w:val="00354B28"/>
    <w:rsid w:val="00354D26"/>
    <w:rsid w:val="00356841"/>
    <w:rsid w:val="0035734D"/>
    <w:rsid w:val="00357971"/>
    <w:rsid w:val="0036320C"/>
    <w:rsid w:val="00364FA0"/>
    <w:rsid w:val="00365698"/>
    <w:rsid w:val="00367F06"/>
    <w:rsid w:val="003715A0"/>
    <w:rsid w:val="00371791"/>
    <w:rsid w:val="003720F4"/>
    <w:rsid w:val="003732EF"/>
    <w:rsid w:val="00383778"/>
    <w:rsid w:val="0038407D"/>
    <w:rsid w:val="0038471F"/>
    <w:rsid w:val="00386341"/>
    <w:rsid w:val="003869D0"/>
    <w:rsid w:val="00393F97"/>
    <w:rsid w:val="003942CE"/>
    <w:rsid w:val="0039566E"/>
    <w:rsid w:val="00396EE6"/>
    <w:rsid w:val="003A0594"/>
    <w:rsid w:val="003A1EA5"/>
    <w:rsid w:val="003A2C2B"/>
    <w:rsid w:val="003A38A7"/>
    <w:rsid w:val="003A4988"/>
    <w:rsid w:val="003A6B9E"/>
    <w:rsid w:val="003B06B9"/>
    <w:rsid w:val="003B0EA6"/>
    <w:rsid w:val="003B3A47"/>
    <w:rsid w:val="003B40CE"/>
    <w:rsid w:val="003C04D9"/>
    <w:rsid w:val="003C06B4"/>
    <w:rsid w:val="003C1DFF"/>
    <w:rsid w:val="003C68AC"/>
    <w:rsid w:val="003C6A61"/>
    <w:rsid w:val="003D3177"/>
    <w:rsid w:val="003D5D1E"/>
    <w:rsid w:val="003D5F15"/>
    <w:rsid w:val="003E3752"/>
    <w:rsid w:val="003E391D"/>
    <w:rsid w:val="003E3E91"/>
    <w:rsid w:val="003E3F5C"/>
    <w:rsid w:val="003E7567"/>
    <w:rsid w:val="003F0D57"/>
    <w:rsid w:val="003F3D91"/>
    <w:rsid w:val="00400A00"/>
    <w:rsid w:val="00404172"/>
    <w:rsid w:val="00406937"/>
    <w:rsid w:val="0040751B"/>
    <w:rsid w:val="0041207E"/>
    <w:rsid w:val="00413DAB"/>
    <w:rsid w:val="00416122"/>
    <w:rsid w:val="00417108"/>
    <w:rsid w:val="004177BE"/>
    <w:rsid w:val="004227E3"/>
    <w:rsid w:val="004249BE"/>
    <w:rsid w:val="00425370"/>
    <w:rsid w:val="00425DED"/>
    <w:rsid w:val="0042709F"/>
    <w:rsid w:val="00427F59"/>
    <w:rsid w:val="00430501"/>
    <w:rsid w:val="004305E4"/>
    <w:rsid w:val="00430FFE"/>
    <w:rsid w:val="004319C4"/>
    <w:rsid w:val="00432041"/>
    <w:rsid w:val="004337EB"/>
    <w:rsid w:val="00435FE1"/>
    <w:rsid w:val="004438EB"/>
    <w:rsid w:val="00443FE2"/>
    <w:rsid w:val="00445AF9"/>
    <w:rsid w:val="00445F0B"/>
    <w:rsid w:val="004471B2"/>
    <w:rsid w:val="004509A7"/>
    <w:rsid w:val="00450A56"/>
    <w:rsid w:val="00453EF8"/>
    <w:rsid w:val="00455908"/>
    <w:rsid w:val="00461594"/>
    <w:rsid w:val="00461CC9"/>
    <w:rsid w:val="004622CA"/>
    <w:rsid w:val="004649ED"/>
    <w:rsid w:val="004657CA"/>
    <w:rsid w:val="0046757E"/>
    <w:rsid w:val="0046776E"/>
    <w:rsid w:val="00470472"/>
    <w:rsid w:val="004734A2"/>
    <w:rsid w:val="00473FAE"/>
    <w:rsid w:val="00474896"/>
    <w:rsid w:val="00476FCF"/>
    <w:rsid w:val="004801C5"/>
    <w:rsid w:val="00480B66"/>
    <w:rsid w:val="004826BB"/>
    <w:rsid w:val="00483032"/>
    <w:rsid w:val="004840B9"/>
    <w:rsid w:val="0048420B"/>
    <w:rsid w:val="004845F4"/>
    <w:rsid w:val="00485799"/>
    <w:rsid w:val="00485E61"/>
    <w:rsid w:val="004910CF"/>
    <w:rsid w:val="00491395"/>
    <w:rsid w:val="00492778"/>
    <w:rsid w:val="0049357E"/>
    <w:rsid w:val="00496C22"/>
    <w:rsid w:val="004A070C"/>
    <w:rsid w:val="004A205B"/>
    <w:rsid w:val="004A234E"/>
    <w:rsid w:val="004A49D2"/>
    <w:rsid w:val="004A4CC5"/>
    <w:rsid w:val="004A753B"/>
    <w:rsid w:val="004B13B4"/>
    <w:rsid w:val="004B14E0"/>
    <w:rsid w:val="004B2D53"/>
    <w:rsid w:val="004B5814"/>
    <w:rsid w:val="004C0606"/>
    <w:rsid w:val="004C2CDB"/>
    <w:rsid w:val="004C514A"/>
    <w:rsid w:val="004C5168"/>
    <w:rsid w:val="004C7F9C"/>
    <w:rsid w:val="004D0ABE"/>
    <w:rsid w:val="004D2937"/>
    <w:rsid w:val="004D616A"/>
    <w:rsid w:val="004D680E"/>
    <w:rsid w:val="004D7095"/>
    <w:rsid w:val="004E2BEF"/>
    <w:rsid w:val="004E3E48"/>
    <w:rsid w:val="004E5FC0"/>
    <w:rsid w:val="004E6C90"/>
    <w:rsid w:val="004F178A"/>
    <w:rsid w:val="004F6A47"/>
    <w:rsid w:val="004F6B1C"/>
    <w:rsid w:val="00501233"/>
    <w:rsid w:val="00505F90"/>
    <w:rsid w:val="00506FCE"/>
    <w:rsid w:val="00507AE6"/>
    <w:rsid w:val="005110DA"/>
    <w:rsid w:val="005157EB"/>
    <w:rsid w:val="005165E4"/>
    <w:rsid w:val="00522113"/>
    <w:rsid w:val="0052367F"/>
    <w:rsid w:val="00523F69"/>
    <w:rsid w:val="005254C9"/>
    <w:rsid w:val="00525643"/>
    <w:rsid w:val="00526091"/>
    <w:rsid w:val="00526B45"/>
    <w:rsid w:val="0052753C"/>
    <w:rsid w:val="0052781B"/>
    <w:rsid w:val="0053040C"/>
    <w:rsid w:val="00531751"/>
    <w:rsid w:val="00535D3B"/>
    <w:rsid w:val="00536D04"/>
    <w:rsid w:val="005402CC"/>
    <w:rsid w:val="00540688"/>
    <w:rsid w:val="00540877"/>
    <w:rsid w:val="00542044"/>
    <w:rsid w:val="00544506"/>
    <w:rsid w:val="005455E4"/>
    <w:rsid w:val="00545C3D"/>
    <w:rsid w:val="0054671F"/>
    <w:rsid w:val="00547EB9"/>
    <w:rsid w:val="00550629"/>
    <w:rsid w:val="005516DB"/>
    <w:rsid w:val="00552AB8"/>
    <w:rsid w:val="00556C22"/>
    <w:rsid w:val="00556CB4"/>
    <w:rsid w:val="005612E9"/>
    <w:rsid w:val="005617EB"/>
    <w:rsid w:val="00561CFF"/>
    <w:rsid w:val="00564071"/>
    <w:rsid w:val="005640DC"/>
    <w:rsid w:val="00571363"/>
    <w:rsid w:val="00571BDB"/>
    <w:rsid w:val="0057370A"/>
    <w:rsid w:val="00576889"/>
    <w:rsid w:val="00577D90"/>
    <w:rsid w:val="005820DB"/>
    <w:rsid w:val="00584263"/>
    <w:rsid w:val="0058764A"/>
    <w:rsid w:val="0059223B"/>
    <w:rsid w:val="005969EC"/>
    <w:rsid w:val="00596E1C"/>
    <w:rsid w:val="005A1135"/>
    <w:rsid w:val="005A1691"/>
    <w:rsid w:val="005A30D5"/>
    <w:rsid w:val="005A5D37"/>
    <w:rsid w:val="005A5F0D"/>
    <w:rsid w:val="005A7026"/>
    <w:rsid w:val="005B0A77"/>
    <w:rsid w:val="005B2AE7"/>
    <w:rsid w:val="005B710D"/>
    <w:rsid w:val="005B7172"/>
    <w:rsid w:val="005C194E"/>
    <w:rsid w:val="005C1E4A"/>
    <w:rsid w:val="005C39C0"/>
    <w:rsid w:val="005C4669"/>
    <w:rsid w:val="005C47E6"/>
    <w:rsid w:val="005C49EF"/>
    <w:rsid w:val="005C58C6"/>
    <w:rsid w:val="005C7BA0"/>
    <w:rsid w:val="005C7C19"/>
    <w:rsid w:val="005D04D3"/>
    <w:rsid w:val="005D0E7D"/>
    <w:rsid w:val="005D5F83"/>
    <w:rsid w:val="005D6716"/>
    <w:rsid w:val="005E081B"/>
    <w:rsid w:val="005E21E9"/>
    <w:rsid w:val="005E2489"/>
    <w:rsid w:val="005E2A18"/>
    <w:rsid w:val="005E390D"/>
    <w:rsid w:val="005E511C"/>
    <w:rsid w:val="005E5402"/>
    <w:rsid w:val="005E5F3D"/>
    <w:rsid w:val="005E63B6"/>
    <w:rsid w:val="005E6CCD"/>
    <w:rsid w:val="005E73BD"/>
    <w:rsid w:val="005E7F4C"/>
    <w:rsid w:val="005F1693"/>
    <w:rsid w:val="005F244F"/>
    <w:rsid w:val="005F7B3D"/>
    <w:rsid w:val="0060011A"/>
    <w:rsid w:val="00600985"/>
    <w:rsid w:val="00602326"/>
    <w:rsid w:val="00602E9F"/>
    <w:rsid w:val="006035D5"/>
    <w:rsid w:val="00603D1C"/>
    <w:rsid w:val="00607AFD"/>
    <w:rsid w:val="00612C67"/>
    <w:rsid w:val="00620442"/>
    <w:rsid w:val="00620479"/>
    <w:rsid w:val="00621ED9"/>
    <w:rsid w:val="006222AC"/>
    <w:rsid w:val="0062329E"/>
    <w:rsid w:val="00625B86"/>
    <w:rsid w:val="006311B8"/>
    <w:rsid w:val="00632C3C"/>
    <w:rsid w:val="006335BF"/>
    <w:rsid w:val="00633729"/>
    <w:rsid w:val="00636883"/>
    <w:rsid w:val="0063768B"/>
    <w:rsid w:val="006443A5"/>
    <w:rsid w:val="00646B5C"/>
    <w:rsid w:val="0064734D"/>
    <w:rsid w:val="00655D9C"/>
    <w:rsid w:val="00656580"/>
    <w:rsid w:val="00661D68"/>
    <w:rsid w:val="00664199"/>
    <w:rsid w:val="00667482"/>
    <w:rsid w:val="00667B80"/>
    <w:rsid w:val="006702E2"/>
    <w:rsid w:val="00671FC1"/>
    <w:rsid w:val="00672FC7"/>
    <w:rsid w:val="0067348C"/>
    <w:rsid w:val="006738FA"/>
    <w:rsid w:val="00680217"/>
    <w:rsid w:val="0068098C"/>
    <w:rsid w:val="00682000"/>
    <w:rsid w:val="0068232F"/>
    <w:rsid w:val="00683A62"/>
    <w:rsid w:val="0068428A"/>
    <w:rsid w:val="00686F22"/>
    <w:rsid w:val="006906A1"/>
    <w:rsid w:val="00690963"/>
    <w:rsid w:val="00696E19"/>
    <w:rsid w:val="006A129F"/>
    <w:rsid w:val="006A2498"/>
    <w:rsid w:val="006A2BE7"/>
    <w:rsid w:val="006A44F5"/>
    <w:rsid w:val="006A5AA8"/>
    <w:rsid w:val="006A5CB9"/>
    <w:rsid w:val="006A70D8"/>
    <w:rsid w:val="006A7612"/>
    <w:rsid w:val="006B0A97"/>
    <w:rsid w:val="006B10A6"/>
    <w:rsid w:val="006B2C4B"/>
    <w:rsid w:val="006B3382"/>
    <w:rsid w:val="006B56EA"/>
    <w:rsid w:val="006B6928"/>
    <w:rsid w:val="006B780E"/>
    <w:rsid w:val="006C112E"/>
    <w:rsid w:val="006C499A"/>
    <w:rsid w:val="006D0CBA"/>
    <w:rsid w:val="006D278A"/>
    <w:rsid w:val="006D2E3D"/>
    <w:rsid w:val="006D479F"/>
    <w:rsid w:val="006D49FD"/>
    <w:rsid w:val="006E2B08"/>
    <w:rsid w:val="006E2B2A"/>
    <w:rsid w:val="006E56B0"/>
    <w:rsid w:val="006F3239"/>
    <w:rsid w:val="006F45CD"/>
    <w:rsid w:val="006F7158"/>
    <w:rsid w:val="006F736B"/>
    <w:rsid w:val="00700AF5"/>
    <w:rsid w:val="00702247"/>
    <w:rsid w:val="00702B88"/>
    <w:rsid w:val="007030DF"/>
    <w:rsid w:val="007062AD"/>
    <w:rsid w:val="007120FA"/>
    <w:rsid w:val="0071212B"/>
    <w:rsid w:val="00713271"/>
    <w:rsid w:val="00713ABA"/>
    <w:rsid w:val="00715F52"/>
    <w:rsid w:val="0071601F"/>
    <w:rsid w:val="00716663"/>
    <w:rsid w:val="00720E88"/>
    <w:rsid w:val="00721750"/>
    <w:rsid w:val="0072290C"/>
    <w:rsid w:val="0072604D"/>
    <w:rsid w:val="00726176"/>
    <w:rsid w:val="00730374"/>
    <w:rsid w:val="0073524E"/>
    <w:rsid w:val="00737429"/>
    <w:rsid w:val="0074128A"/>
    <w:rsid w:val="00741819"/>
    <w:rsid w:val="00742718"/>
    <w:rsid w:val="00742BBF"/>
    <w:rsid w:val="007436B8"/>
    <w:rsid w:val="007436CE"/>
    <w:rsid w:val="00745831"/>
    <w:rsid w:val="00745CFC"/>
    <w:rsid w:val="00750797"/>
    <w:rsid w:val="007515BC"/>
    <w:rsid w:val="007549AA"/>
    <w:rsid w:val="00755551"/>
    <w:rsid w:val="00755777"/>
    <w:rsid w:val="00756DFB"/>
    <w:rsid w:val="00756E78"/>
    <w:rsid w:val="00757EB2"/>
    <w:rsid w:val="007612FA"/>
    <w:rsid w:val="00762B53"/>
    <w:rsid w:val="0076486E"/>
    <w:rsid w:val="00765AF7"/>
    <w:rsid w:val="00770D0C"/>
    <w:rsid w:val="00775F5F"/>
    <w:rsid w:val="00775F90"/>
    <w:rsid w:val="00781583"/>
    <w:rsid w:val="00782016"/>
    <w:rsid w:val="00783A5A"/>
    <w:rsid w:val="00783EA7"/>
    <w:rsid w:val="007904F3"/>
    <w:rsid w:val="0079088E"/>
    <w:rsid w:val="00791F11"/>
    <w:rsid w:val="0079508C"/>
    <w:rsid w:val="00795C5E"/>
    <w:rsid w:val="007A0F2F"/>
    <w:rsid w:val="007A42EE"/>
    <w:rsid w:val="007A4B7E"/>
    <w:rsid w:val="007B2F1B"/>
    <w:rsid w:val="007D140B"/>
    <w:rsid w:val="007D609A"/>
    <w:rsid w:val="007E14CC"/>
    <w:rsid w:val="007E2C2F"/>
    <w:rsid w:val="007E3CBB"/>
    <w:rsid w:val="007E3F68"/>
    <w:rsid w:val="007E510F"/>
    <w:rsid w:val="007E601F"/>
    <w:rsid w:val="007E6E9B"/>
    <w:rsid w:val="007F2C09"/>
    <w:rsid w:val="007F4673"/>
    <w:rsid w:val="007F7355"/>
    <w:rsid w:val="0080143B"/>
    <w:rsid w:val="00804E94"/>
    <w:rsid w:val="00811169"/>
    <w:rsid w:val="0081127F"/>
    <w:rsid w:val="00812772"/>
    <w:rsid w:val="00813814"/>
    <w:rsid w:val="0081446C"/>
    <w:rsid w:val="00814CED"/>
    <w:rsid w:val="00817710"/>
    <w:rsid w:val="008203DC"/>
    <w:rsid w:val="008220A0"/>
    <w:rsid w:val="00822A0C"/>
    <w:rsid w:val="00831D26"/>
    <w:rsid w:val="00832722"/>
    <w:rsid w:val="00832BD0"/>
    <w:rsid w:val="00833146"/>
    <w:rsid w:val="00837806"/>
    <w:rsid w:val="00841372"/>
    <w:rsid w:val="00842ED7"/>
    <w:rsid w:val="00844D22"/>
    <w:rsid w:val="00850608"/>
    <w:rsid w:val="00851A68"/>
    <w:rsid w:val="00854007"/>
    <w:rsid w:val="00855300"/>
    <w:rsid w:val="00855B3B"/>
    <w:rsid w:val="00864FAD"/>
    <w:rsid w:val="0086510E"/>
    <w:rsid w:val="008660C1"/>
    <w:rsid w:val="008670F5"/>
    <w:rsid w:val="00867A8D"/>
    <w:rsid w:val="00872C5A"/>
    <w:rsid w:val="00872D13"/>
    <w:rsid w:val="00874B30"/>
    <w:rsid w:val="00875FB6"/>
    <w:rsid w:val="008771C3"/>
    <w:rsid w:val="008818CB"/>
    <w:rsid w:val="00881B5C"/>
    <w:rsid w:val="00883445"/>
    <w:rsid w:val="008845DB"/>
    <w:rsid w:val="00892AF6"/>
    <w:rsid w:val="0089357E"/>
    <w:rsid w:val="00893A1D"/>
    <w:rsid w:val="008957FE"/>
    <w:rsid w:val="00897E37"/>
    <w:rsid w:val="008A23BF"/>
    <w:rsid w:val="008B01AE"/>
    <w:rsid w:val="008B1C98"/>
    <w:rsid w:val="008B264F"/>
    <w:rsid w:val="008B3D87"/>
    <w:rsid w:val="008B7C41"/>
    <w:rsid w:val="008B7EF3"/>
    <w:rsid w:val="008C0050"/>
    <w:rsid w:val="008C07C3"/>
    <w:rsid w:val="008C0A2F"/>
    <w:rsid w:val="008C1BC7"/>
    <w:rsid w:val="008C2C61"/>
    <w:rsid w:val="008C45D9"/>
    <w:rsid w:val="008C5D99"/>
    <w:rsid w:val="008C5FB6"/>
    <w:rsid w:val="008D11AB"/>
    <w:rsid w:val="008D41E5"/>
    <w:rsid w:val="008D773F"/>
    <w:rsid w:val="008D79A0"/>
    <w:rsid w:val="008E09B9"/>
    <w:rsid w:val="008E1D38"/>
    <w:rsid w:val="008E3CD3"/>
    <w:rsid w:val="008E3E45"/>
    <w:rsid w:val="008E4419"/>
    <w:rsid w:val="008E7A7E"/>
    <w:rsid w:val="008F1235"/>
    <w:rsid w:val="00904238"/>
    <w:rsid w:val="0090543E"/>
    <w:rsid w:val="00906242"/>
    <w:rsid w:val="0090639E"/>
    <w:rsid w:val="00906463"/>
    <w:rsid w:val="00907DE4"/>
    <w:rsid w:val="00912E3A"/>
    <w:rsid w:val="009149D4"/>
    <w:rsid w:val="00915A92"/>
    <w:rsid w:val="00916098"/>
    <w:rsid w:val="009166C3"/>
    <w:rsid w:val="0091750B"/>
    <w:rsid w:val="00917FE0"/>
    <w:rsid w:val="00922BD0"/>
    <w:rsid w:val="009233A8"/>
    <w:rsid w:val="00923488"/>
    <w:rsid w:val="00925DB5"/>
    <w:rsid w:val="009268D9"/>
    <w:rsid w:val="00931076"/>
    <w:rsid w:val="00931D52"/>
    <w:rsid w:val="00935476"/>
    <w:rsid w:val="009413E5"/>
    <w:rsid w:val="00942795"/>
    <w:rsid w:val="009445EE"/>
    <w:rsid w:val="0094472B"/>
    <w:rsid w:val="00950226"/>
    <w:rsid w:val="00950B86"/>
    <w:rsid w:val="00951079"/>
    <w:rsid w:val="0095476D"/>
    <w:rsid w:val="00955C18"/>
    <w:rsid w:val="00961106"/>
    <w:rsid w:val="009626A7"/>
    <w:rsid w:val="00962C20"/>
    <w:rsid w:val="00963664"/>
    <w:rsid w:val="0096667E"/>
    <w:rsid w:val="009705BD"/>
    <w:rsid w:val="00970EC3"/>
    <w:rsid w:val="00974B13"/>
    <w:rsid w:val="0097656D"/>
    <w:rsid w:val="0097697A"/>
    <w:rsid w:val="00976CE9"/>
    <w:rsid w:val="00980DB2"/>
    <w:rsid w:val="00981373"/>
    <w:rsid w:val="00982FF1"/>
    <w:rsid w:val="00983984"/>
    <w:rsid w:val="00990C1A"/>
    <w:rsid w:val="009923E8"/>
    <w:rsid w:val="00992761"/>
    <w:rsid w:val="0099299B"/>
    <w:rsid w:val="00994EE7"/>
    <w:rsid w:val="00996A9B"/>
    <w:rsid w:val="009A4270"/>
    <w:rsid w:val="009A5560"/>
    <w:rsid w:val="009B0C79"/>
    <w:rsid w:val="009B24BE"/>
    <w:rsid w:val="009B412F"/>
    <w:rsid w:val="009B43B1"/>
    <w:rsid w:val="009B6423"/>
    <w:rsid w:val="009C2AB4"/>
    <w:rsid w:val="009C2F18"/>
    <w:rsid w:val="009C3C81"/>
    <w:rsid w:val="009C6288"/>
    <w:rsid w:val="009C6BE8"/>
    <w:rsid w:val="009C6CCD"/>
    <w:rsid w:val="009C7170"/>
    <w:rsid w:val="009C74F8"/>
    <w:rsid w:val="009D07DC"/>
    <w:rsid w:val="009D0B94"/>
    <w:rsid w:val="009D229D"/>
    <w:rsid w:val="009D4D77"/>
    <w:rsid w:val="009D53F5"/>
    <w:rsid w:val="009D5D1F"/>
    <w:rsid w:val="009D6AC2"/>
    <w:rsid w:val="009E1AEA"/>
    <w:rsid w:val="009E3BA8"/>
    <w:rsid w:val="009E7014"/>
    <w:rsid w:val="009E7E41"/>
    <w:rsid w:val="009F1D34"/>
    <w:rsid w:val="009F3B26"/>
    <w:rsid w:val="009F414A"/>
    <w:rsid w:val="009F51EB"/>
    <w:rsid w:val="009F569D"/>
    <w:rsid w:val="009F56B1"/>
    <w:rsid w:val="009F5714"/>
    <w:rsid w:val="009F72E1"/>
    <w:rsid w:val="00A004EE"/>
    <w:rsid w:val="00A00A48"/>
    <w:rsid w:val="00A02E68"/>
    <w:rsid w:val="00A03DD9"/>
    <w:rsid w:val="00A052B4"/>
    <w:rsid w:val="00A05D06"/>
    <w:rsid w:val="00A075E3"/>
    <w:rsid w:val="00A07654"/>
    <w:rsid w:val="00A11818"/>
    <w:rsid w:val="00A12914"/>
    <w:rsid w:val="00A1574F"/>
    <w:rsid w:val="00A158B4"/>
    <w:rsid w:val="00A27453"/>
    <w:rsid w:val="00A314A0"/>
    <w:rsid w:val="00A32327"/>
    <w:rsid w:val="00A32C1F"/>
    <w:rsid w:val="00A32D3F"/>
    <w:rsid w:val="00A35AF7"/>
    <w:rsid w:val="00A35FC3"/>
    <w:rsid w:val="00A373A5"/>
    <w:rsid w:val="00A40F2F"/>
    <w:rsid w:val="00A46415"/>
    <w:rsid w:val="00A51AE4"/>
    <w:rsid w:val="00A51DEB"/>
    <w:rsid w:val="00A527DC"/>
    <w:rsid w:val="00A53284"/>
    <w:rsid w:val="00A54581"/>
    <w:rsid w:val="00A56CEA"/>
    <w:rsid w:val="00A60626"/>
    <w:rsid w:val="00A60A82"/>
    <w:rsid w:val="00A614BC"/>
    <w:rsid w:val="00A6160D"/>
    <w:rsid w:val="00A61C7A"/>
    <w:rsid w:val="00A6282C"/>
    <w:rsid w:val="00A629CB"/>
    <w:rsid w:val="00A634D9"/>
    <w:rsid w:val="00A71E56"/>
    <w:rsid w:val="00A72890"/>
    <w:rsid w:val="00A72AF9"/>
    <w:rsid w:val="00A758D0"/>
    <w:rsid w:val="00A802F2"/>
    <w:rsid w:val="00A857D7"/>
    <w:rsid w:val="00A86191"/>
    <w:rsid w:val="00A90036"/>
    <w:rsid w:val="00A91573"/>
    <w:rsid w:val="00A92CDF"/>
    <w:rsid w:val="00A970B0"/>
    <w:rsid w:val="00A97AA0"/>
    <w:rsid w:val="00AA79D3"/>
    <w:rsid w:val="00AB01C0"/>
    <w:rsid w:val="00AB02AA"/>
    <w:rsid w:val="00AB2475"/>
    <w:rsid w:val="00AB31C0"/>
    <w:rsid w:val="00AB3D0E"/>
    <w:rsid w:val="00AB7840"/>
    <w:rsid w:val="00AC0AA1"/>
    <w:rsid w:val="00AC26C5"/>
    <w:rsid w:val="00AC3C92"/>
    <w:rsid w:val="00AC43E9"/>
    <w:rsid w:val="00AC481A"/>
    <w:rsid w:val="00AC48D5"/>
    <w:rsid w:val="00AC4B61"/>
    <w:rsid w:val="00AC70F0"/>
    <w:rsid w:val="00AC72DF"/>
    <w:rsid w:val="00AD229A"/>
    <w:rsid w:val="00AD563B"/>
    <w:rsid w:val="00AD6653"/>
    <w:rsid w:val="00AD7E2A"/>
    <w:rsid w:val="00AF06C8"/>
    <w:rsid w:val="00AF1D62"/>
    <w:rsid w:val="00AF2325"/>
    <w:rsid w:val="00AF3CBD"/>
    <w:rsid w:val="00AF4966"/>
    <w:rsid w:val="00AF69E9"/>
    <w:rsid w:val="00B034CD"/>
    <w:rsid w:val="00B03EA8"/>
    <w:rsid w:val="00B048CD"/>
    <w:rsid w:val="00B11515"/>
    <w:rsid w:val="00B13024"/>
    <w:rsid w:val="00B155FA"/>
    <w:rsid w:val="00B16D79"/>
    <w:rsid w:val="00B21B0B"/>
    <w:rsid w:val="00B2545B"/>
    <w:rsid w:val="00B25636"/>
    <w:rsid w:val="00B25DD9"/>
    <w:rsid w:val="00B262F4"/>
    <w:rsid w:val="00B2748E"/>
    <w:rsid w:val="00B31BD4"/>
    <w:rsid w:val="00B32023"/>
    <w:rsid w:val="00B3220B"/>
    <w:rsid w:val="00B33926"/>
    <w:rsid w:val="00B33C8C"/>
    <w:rsid w:val="00B345C0"/>
    <w:rsid w:val="00B35675"/>
    <w:rsid w:val="00B35FA1"/>
    <w:rsid w:val="00B400D0"/>
    <w:rsid w:val="00B403A5"/>
    <w:rsid w:val="00B435E4"/>
    <w:rsid w:val="00B43759"/>
    <w:rsid w:val="00B46C9B"/>
    <w:rsid w:val="00B50FDB"/>
    <w:rsid w:val="00B51FD1"/>
    <w:rsid w:val="00B52396"/>
    <w:rsid w:val="00B53BC8"/>
    <w:rsid w:val="00B566A4"/>
    <w:rsid w:val="00B6186A"/>
    <w:rsid w:val="00B6345F"/>
    <w:rsid w:val="00B63C31"/>
    <w:rsid w:val="00B653E5"/>
    <w:rsid w:val="00B65B87"/>
    <w:rsid w:val="00B66342"/>
    <w:rsid w:val="00B6774B"/>
    <w:rsid w:val="00B72414"/>
    <w:rsid w:val="00B72D8A"/>
    <w:rsid w:val="00B761B9"/>
    <w:rsid w:val="00B7751A"/>
    <w:rsid w:val="00B86509"/>
    <w:rsid w:val="00B86A3D"/>
    <w:rsid w:val="00B87897"/>
    <w:rsid w:val="00B92C13"/>
    <w:rsid w:val="00B935B3"/>
    <w:rsid w:val="00B93855"/>
    <w:rsid w:val="00B947D9"/>
    <w:rsid w:val="00B96931"/>
    <w:rsid w:val="00B97256"/>
    <w:rsid w:val="00BA0341"/>
    <w:rsid w:val="00BA0419"/>
    <w:rsid w:val="00BB09C8"/>
    <w:rsid w:val="00BB3741"/>
    <w:rsid w:val="00BB3D26"/>
    <w:rsid w:val="00BB59C6"/>
    <w:rsid w:val="00BB6278"/>
    <w:rsid w:val="00BB73E0"/>
    <w:rsid w:val="00BC2E54"/>
    <w:rsid w:val="00BC4B1B"/>
    <w:rsid w:val="00BC57F5"/>
    <w:rsid w:val="00BC69FC"/>
    <w:rsid w:val="00BC788D"/>
    <w:rsid w:val="00BD083E"/>
    <w:rsid w:val="00BD38FF"/>
    <w:rsid w:val="00BD58C5"/>
    <w:rsid w:val="00BE2195"/>
    <w:rsid w:val="00BE49D4"/>
    <w:rsid w:val="00BE63B9"/>
    <w:rsid w:val="00BF227F"/>
    <w:rsid w:val="00BF38A2"/>
    <w:rsid w:val="00BF7881"/>
    <w:rsid w:val="00BF7D76"/>
    <w:rsid w:val="00BF7E59"/>
    <w:rsid w:val="00BF7FB1"/>
    <w:rsid w:val="00C02357"/>
    <w:rsid w:val="00C049CD"/>
    <w:rsid w:val="00C0598C"/>
    <w:rsid w:val="00C06BFC"/>
    <w:rsid w:val="00C06C93"/>
    <w:rsid w:val="00C1005A"/>
    <w:rsid w:val="00C10582"/>
    <w:rsid w:val="00C13A02"/>
    <w:rsid w:val="00C20ED0"/>
    <w:rsid w:val="00C228AF"/>
    <w:rsid w:val="00C2296E"/>
    <w:rsid w:val="00C23451"/>
    <w:rsid w:val="00C24E4E"/>
    <w:rsid w:val="00C27304"/>
    <w:rsid w:val="00C31D86"/>
    <w:rsid w:val="00C3213B"/>
    <w:rsid w:val="00C324CD"/>
    <w:rsid w:val="00C3300B"/>
    <w:rsid w:val="00C34A49"/>
    <w:rsid w:val="00C35A43"/>
    <w:rsid w:val="00C36EF0"/>
    <w:rsid w:val="00C41AD1"/>
    <w:rsid w:val="00C423C0"/>
    <w:rsid w:val="00C43028"/>
    <w:rsid w:val="00C44C8B"/>
    <w:rsid w:val="00C45183"/>
    <w:rsid w:val="00C46ADF"/>
    <w:rsid w:val="00C477C8"/>
    <w:rsid w:val="00C534DC"/>
    <w:rsid w:val="00C559EF"/>
    <w:rsid w:val="00C62222"/>
    <w:rsid w:val="00C629BE"/>
    <w:rsid w:val="00C64659"/>
    <w:rsid w:val="00C65A79"/>
    <w:rsid w:val="00C75D0D"/>
    <w:rsid w:val="00C76D67"/>
    <w:rsid w:val="00C77BCE"/>
    <w:rsid w:val="00C831E0"/>
    <w:rsid w:val="00C84B23"/>
    <w:rsid w:val="00C85B9B"/>
    <w:rsid w:val="00C860D4"/>
    <w:rsid w:val="00C86C12"/>
    <w:rsid w:val="00C90CAD"/>
    <w:rsid w:val="00C91267"/>
    <w:rsid w:val="00C92121"/>
    <w:rsid w:val="00C93169"/>
    <w:rsid w:val="00C93B53"/>
    <w:rsid w:val="00C93EBF"/>
    <w:rsid w:val="00C94393"/>
    <w:rsid w:val="00C9657E"/>
    <w:rsid w:val="00C976FF"/>
    <w:rsid w:val="00CA1857"/>
    <w:rsid w:val="00CA2178"/>
    <w:rsid w:val="00CA7A6F"/>
    <w:rsid w:val="00CA7C2B"/>
    <w:rsid w:val="00CB2576"/>
    <w:rsid w:val="00CC1B1C"/>
    <w:rsid w:val="00CC37BE"/>
    <w:rsid w:val="00CC38D1"/>
    <w:rsid w:val="00CC6F58"/>
    <w:rsid w:val="00CD6654"/>
    <w:rsid w:val="00CE32CB"/>
    <w:rsid w:val="00CE3E67"/>
    <w:rsid w:val="00CE5D08"/>
    <w:rsid w:val="00CE6497"/>
    <w:rsid w:val="00CE684F"/>
    <w:rsid w:val="00CE6ADB"/>
    <w:rsid w:val="00CF0A95"/>
    <w:rsid w:val="00CF1DCB"/>
    <w:rsid w:val="00CF4C9A"/>
    <w:rsid w:val="00CF762E"/>
    <w:rsid w:val="00D038D8"/>
    <w:rsid w:val="00D05E9E"/>
    <w:rsid w:val="00D07589"/>
    <w:rsid w:val="00D1043A"/>
    <w:rsid w:val="00D11DFB"/>
    <w:rsid w:val="00D13915"/>
    <w:rsid w:val="00D145FA"/>
    <w:rsid w:val="00D20498"/>
    <w:rsid w:val="00D205C2"/>
    <w:rsid w:val="00D2248D"/>
    <w:rsid w:val="00D22F51"/>
    <w:rsid w:val="00D23D82"/>
    <w:rsid w:val="00D23F34"/>
    <w:rsid w:val="00D24023"/>
    <w:rsid w:val="00D24BF3"/>
    <w:rsid w:val="00D25345"/>
    <w:rsid w:val="00D30A37"/>
    <w:rsid w:val="00D31C22"/>
    <w:rsid w:val="00D346FA"/>
    <w:rsid w:val="00D34A2A"/>
    <w:rsid w:val="00D36187"/>
    <w:rsid w:val="00D3700A"/>
    <w:rsid w:val="00D432CD"/>
    <w:rsid w:val="00D4374A"/>
    <w:rsid w:val="00D46E30"/>
    <w:rsid w:val="00D47424"/>
    <w:rsid w:val="00D51DA4"/>
    <w:rsid w:val="00D527A6"/>
    <w:rsid w:val="00D53744"/>
    <w:rsid w:val="00D55EF4"/>
    <w:rsid w:val="00D60D96"/>
    <w:rsid w:val="00D61F56"/>
    <w:rsid w:val="00D62053"/>
    <w:rsid w:val="00D66764"/>
    <w:rsid w:val="00D67520"/>
    <w:rsid w:val="00D7013F"/>
    <w:rsid w:val="00D70BDB"/>
    <w:rsid w:val="00D71677"/>
    <w:rsid w:val="00D733DF"/>
    <w:rsid w:val="00D7573A"/>
    <w:rsid w:val="00D75B08"/>
    <w:rsid w:val="00D8113C"/>
    <w:rsid w:val="00D82621"/>
    <w:rsid w:val="00D83133"/>
    <w:rsid w:val="00D8496A"/>
    <w:rsid w:val="00D84CEC"/>
    <w:rsid w:val="00D855A9"/>
    <w:rsid w:val="00D85632"/>
    <w:rsid w:val="00D86AA9"/>
    <w:rsid w:val="00D9093D"/>
    <w:rsid w:val="00DA432A"/>
    <w:rsid w:val="00DB3204"/>
    <w:rsid w:val="00DB52E4"/>
    <w:rsid w:val="00DB64CC"/>
    <w:rsid w:val="00DC03C9"/>
    <w:rsid w:val="00DC04A1"/>
    <w:rsid w:val="00DC2BD9"/>
    <w:rsid w:val="00DC2CC5"/>
    <w:rsid w:val="00DC38E7"/>
    <w:rsid w:val="00DC40EE"/>
    <w:rsid w:val="00DC4680"/>
    <w:rsid w:val="00DC6AAD"/>
    <w:rsid w:val="00DC765F"/>
    <w:rsid w:val="00DC790A"/>
    <w:rsid w:val="00DD07D3"/>
    <w:rsid w:val="00DD1B6E"/>
    <w:rsid w:val="00DD48ED"/>
    <w:rsid w:val="00DD5DAA"/>
    <w:rsid w:val="00DD7250"/>
    <w:rsid w:val="00DD7A39"/>
    <w:rsid w:val="00DE1309"/>
    <w:rsid w:val="00DE27DB"/>
    <w:rsid w:val="00DE5348"/>
    <w:rsid w:val="00DE715C"/>
    <w:rsid w:val="00DE73F5"/>
    <w:rsid w:val="00DF4190"/>
    <w:rsid w:val="00E06958"/>
    <w:rsid w:val="00E10D19"/>
    <w:rsid w:val="00E1209F"/>
    <w:rsid w:val="00E14866"/>
    <w:rsid w:val="00E15FFB"/>
    <w:rsid w:val="00E16079"/>
    <w:rsid w:val="00E174A5"/>
    <w:rsid w:val="00E1784C"/>
    <w:rsid w:val="00E179C1"/>
    <w:rsid w:val="00E17DE7"/>
    <w:rsid w:val="00E212A8"/>
    <w:rsid w:val="00E21D7B"/>
    <w:rsid w:val="00E2401A"/>
    <w:rsid w:val="00E26287"/>
    <w:rsid w:val="00E279A4"/>
    <w:rsid w:val="00E302C0"/>
    <w:rsid w:val="00E3080C"/>
    <w:rsid w:val="00E31A83"/>
    <w:rsid w:val="00E341BB"/>
    <w:rsid w:val="00E36FAA"/>
    <w:rsid w:val="00E4010C"/>
    <w:rsid w:val="00E412A9"/>
    <w:rsid w:val="00E431E2"/>
    <w:rsid w:val="00E44DA4"/>
    <w:rsid w:val="00E44E29"/>
    <w:rsid w:val="00E44E7B"/>
    <w:rsid w:val="00E44FBA"/>
    <w:rsid w:val="00E45DA0"/>
    <w:rsid w:val="00E46539"/>
    <w:rsid w:val="00E4740F"/>
    <w:rsid w:val="00E47754"/>
    <w:rsid w:val="00E4782B"/>
    <w:rsid w:val="00E54A46"/>
    <w:rsid w:val="00E55890"/>
    <w:rsid w:val="00E56086"/>
    <w:rsid w:val="00E6691E"/>
    <w:rsid w:val="00E728C3"/>
    <w:rsid w:val="00E73288"/>
    <w:rsid w:val="00E73C91"/>
    <w:rsid w:val="00E80C07"/>
    <w:rsid w:val="00E815F3"/>
    <w:rsid w:val="00E82D3A"/>
    <w:rsid w:val="00E840E5"/>
    <w:rsid w:val="00E84A04"/>
    <w:rsid w:val="00E86BFD"/>
    <w:rsid w:val="00E93F5B"/>
    <w:rsid w:val="00EA3C15"/>
    <w:rsid w:val="00EA5083"/>
    <w:rsid w:val="00EA6136"/>
    <w:rsid w:val="00EA6E1A"/>
    <w:rsid w:val="00EB3459"/>
    <w:rsid w:val="00EB5C00"/>
    <w:rsid w:val="00EB7C96"/>
    <w:rsid w:val="00EC000B"/>
    <w:rsid w:val="00EC180C"/>
    <w:rsid w:val="00EC26FF"/>
    <w:rsid w:val="00EC27BB"/>
    <w:rsid w:val="00EC2877"/>
    <w:rsid w:val="00EC4077"/>
    <w:rsid w:val="00EC4539"/>
    <w:rsid w:val="00ED01B8"/>
    <w:rsid w:val="00ED174F"/>
    <w:rsid w:val="00ED2050"/>
    <w:rsid w:val="00ED44E3"/>
    <w:rsid w:val="00ED788A"/>
    <w:rsid w:val="00EE3870"/>
    <w:rsid w:val="00EE474D"/>
    <w:rsid w:val="00EE4758"/>
    <w:rsid w:val="00EE5B12"/>
    <w:rsid w:val="00EE6454"/>
    <w:rsid w:val="00EF355E"/>
    <w:rsid w:val="00EF3D30"/>
    <w:rsid w:val="00EF4F42"/>
    <w:rsid w:val="00EF5F8D"/>
    <w:rsid w:val="00EF7299"/>
    <w:rsid w:val="00EF77E2"/>
    <w:rsid w:val="00F02119"/>
    <w:rsid w:val="00F03E45"/>
    <w:rsid w:val="00F04954"/>
    <w:rsid w:val="00F04981"/>
    <w:rsid w:val="00F04CC0"/>
    <w:rsid w:val="00F0510E"/>
    <w:rsid w:val="00F075A3"/>
    <w:rsid w:val="00F11892"/>
    <w:rsid w:val="00F1198A"/>
    <w:rsid w:val="00F12986"/>
    <w:rsid w:val="00F15707"/>
    <w:rsid w:val="00F17F09"/>
    <w:rsid w:val="00F20E34"/>
    <w:rsid w:val="00F249C3"/>
    <w:rsid w:val="00F258FB"/>
    <w:rsid w:val="00F26BD7"/>
    <w:rsid w:val="00F3105E"/>
    <w:rsid w:val="00F312D0"/>
    <w:rsid w:val="00F4461C"/>
    <w:rsid w:val="00F4516E"/>
    <w:rsid w:val="00F46F5B"/>
    <w:rsid w:val="00F50715"/>
    <w:rsid w:val="00F52F77"/>
    <w:rsid w:val="00F54092"/>
    <w:rsid w:val="00F570FA"/>
    <w:rsid w:val="00F6359A"/>
    <w:rsid w:val="00F6727F"/>
    <w:rsid w:val="00F7112D"/>
    <w:rsid w:val="00F716FB"/>
    <w:rsid w:val="00F73D9D"/>
    <w:rsid w:val="00F741CC"/>
    <w:rsid w:val="00F74A25"/>
    <w:rsid w:val="00F76C9B"/>
    <w:rsid w:val="00F83C13"/>
    <w:rsid w:val="00F848C6"/>
    <w:rsid w:val="00F87BE2"/>
    <w:rsid w:val="00F918C8"/>
    <w:rsid w:val="00F9248D"/>
    <w:rsid w:val="00F9315D"/>
    <w:rsid w:val="00F93813"/>
    <w:rsid w:val="00F93D97"/>
    <w:rsid w:val="00F950F3"/>
    <w:rsid w:val="00F97CB0"/>
    <w:rsid w:val="00FA373A"/>
    <w:rsid w:val="00FA3884"/>
    <w:rsid w:val="00FA3F4E"/>
    <w:rsid w:val="00FB25E0"/>
    <w:rsid w:val="00FB2DC0"/>
    <w:rsid w:val="00FB2F55"/>
    <w:rsid w:val="00FB2F98"/>
    <w:rsid w:val="00FB44B3"/>
    <w:rsid w:val="00FB48F5"/>
    <w:rsid w:val="00FB6098"/>
    <w:rsid w:val="00FB61D9"/>
    <w:rsid w:val="00FC54F5"/>
    <w:rsid w:val="00FD0A27"/>
    <w:rsid w:val="00FD26BB"/>
    <w:rsid w:val="00FD289A"/>
    <w:rsid w:val="00FD3068"/>
    <w:rsid w:val="00FD3BD1"/>
    <w:rsid w:val="00FD4DFD"/>
    <w:rsid w:val="00FE3A73"/>
    <w:rsid w:val="00FE4621"/>
    <w:rsid w:val="00FE47A3"/>
    <w:rsid w:val="00FE4AA8"/>
    <w:rsid w:val="00FE5E3C"/>
    <w:rsid w:val="00FF203F"/>
    <w:rsid w:val="00FF2686"/>
    <w:rsid w:val="00FF2800"/>
    <w:rsid w:val="00FF2DE7"/>
    <w:rsid w:val="00FF4E28"/>
    <w:rsid w:val="00FF5048"/>
    <w:rsid w:val="00FF639D"/>
    <w:rsid w:val="00FF72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BC5AEC"/>
  <w15:docId w15:val="{8E02E1E5-10FE-491A-99DC-80F773E4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8E7"/>
    <w:pPr>
      <w:widowControl w:val="0"/>
      <w:autoSpaceDE w:val="0"/>
      <w:autoSpaceDN w:val="0"/>
    </w:pPr>
    <w:rPr>
      <w:rFonts w:ascii="Times New Roman" w:hAnsi="Times New Roman"/>
      <w:sz w:val="24"/>
      <w:szCs w:val="24"/>
    </w:rPr>
  </w:style>
  <w:style w:type="paragraph" w:styleId="Heading1">
    <w:name w:val="heading 1"/>
    <w:aliases w:val="JudulTabel"/>
    <w:basedOn w:val="Normal"/>
    <w:next w:val="Normal"/>
    <w:link w:val="Heading1Char"/>
    <w:rsid w:val="00FF639D"/>
    <w:pPr>
      <w:keepNext/>
      <w:spacing w:before="240" w:after="240"/>
      <w:ind w:left="1008" w:hanging="1008"/>
      <w:jc w:val="both"/>
      <w:outlineLvl w:val="0"/>
    </w:pPr>
    <w:rPr>
      <w:b/>
      <w:bCs/>
      <w:kern w:val="32"/>
      <w:sz w:val="22"/>
      <w:szCs w:val="32"/>
    </w:rPr>
  </w:style>
  <w:style w:type="paragraph" w:styleId="Heading2">
    <w:name w:val="heading 2"/>
    <w:aliases w:val="Judul Gambar"/>
    <w:basedOn w:val="Normal"/>
    <w:next w:val="Normal"/>
    <w:link w:val="Heading2Char"/>
    <w:unhideWhenUsed/>
    <w:rsid w:val="0001554F"/>
    <w:pPr>
      <w:keepNext/>
      <w:keepLines/>
      <w:spacing w:before="240" w:line="360" w:lineRule="auto"/>
      <w:outlineLvl w:val="1"/>
    </w:pPr>
    <w:rPr>
      <w:b/>
      <w:bCs/>
      <w:color w:val="000000"/>
      <w:sz w:val="26"/>
      <w:szCs w:val="26"/>
    </w:rPr>
  </w:style>
  <w:style w:type="paragraph" w:styleId="Heading3">
    <w:name w:val="heading 3"/>
    <w:basedOn w:val="Normal"/>
    <w:next w:val="Normal"/>
    <w:link w:val="Heading3Char"/>
    <w:unhideWhenUsed/>
    <w:qFormat/>
    <w:rsid w:val="008818CB"/>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A51AE4"/>
    <w:pPr>
      <w:keepNext/>
      <w:widowControl/>
      <w:autoSpaceDE/>
      <w:autoSpaceDN/>
      <w:spacing w:before="240" w:after="60" w:line="360" w:lineRule="auto"/>
      <w:jc w:val="both"/>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51AE4"/>
    <w:pPr>
      <w:widowControl/>
      <w:autoSpaceDE/>
      <w:autoSpaceDN/>
      <w:spacing w:before="240" w:after="60" w:line="360" w:lineRule="auto"/>
      <w:jc w:val="both"/>
      <w:outlineLvl w:val="4"/>
    </w:pPr>
    <w:rPr>
      <w:rFonts w:ascii="Calibri" w:hAnsi="Calibri"/>
      <w:b/>
      <w:bCs/>
      <w:i/>
      <w:iCs/>
      <w:sz w:val="26"/>
      <w:szCs w:val="26"/>
    </w:rPr>
  </w:style>
  <w:style w:type="paragraph" w:styleId="Heading6">
    <w:name w:val="heading 6"/>
    <w:basedOn w:val="Normal"/>
    <w:link w:val="Heading6Char"/>
    <w:qFormat/>
    <w:rsid w:val="00A51AE4"/>
    <w:pPr>
      <w:widowControl/>
      <w:autoSpaceDE/>
      <w:autoSpaceDN/>
      <w:spacing w:before="100" w:beforeAutospacing="1" w:after="100" w:afterAutospacing="1"/>
      <w:jc w:val="both"/>
      <w:outlineLvl w:val="5"/>
    </w:pPr>
    <w:rPr>
      <w:b/>
      <w:bCs/>
      <w:sz w:val="15"/>
      <w:szCs w:val="15"/>
    </w:rPr>
  </w:style>
  <w:style w:type="paragraph" w:styleId="Heading7">
    <w:name w:val="heading 7"/>
    <w:basedOn w:val="Heading1"/>
    <w:next w:val="Normal"/>
    <w:link w:val="Heading7Char"/>
    <w:qFormat/>
    <w:rsid w:val="00A51AE4"/>
    <w:pPr>
      <w:widowControl/>
      <w:tabs>
        <w:tab w:val="left" w:pos="567"/>
        <w:tab w:val="left" w:pos="1152"/>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s>
      <w:overflowPunct w:val="0"/>
      <w:adjustRightInd w:val="0"/>
      <w:spacing w:before="140" w:after="140" w:line="288" w:lineRule="auto"/>
      <w:ind w:left="567" w:hanging="567"/>
      <w:textAlignment w:val="baseline"/>
      <w:outlineLvl w:val="6"/>
    </w:pPr>
    <w:rPr>
      <w:rFonts w:ascii="Arial" w:hAnsi="Arial"/>
      <w:bCs w:val="0"/>
      <w:kern w:val="28"/>
      <w:sz w:val="20"/>
      <w:szCs w:val="20"/>
      <w:lang w:val="fr-FR" w:eastAsia="id-ID"/>
    </w:rPr>
  </w:style>
  <w:style w:type="paragraph" w:styleId="Heading8">
    <w:name w:val="heading 8"/>
    <w:basedOn w:val="Normal"/>
    <w:next w:val="Normal"/>
    <w:link w:val="Heading8Char"/>
    <w:qFormat/>
    <w:rsid w:val="00A51AE4"/>
    <w:pPr>
      <w:widowControl/>
      <w:tabs>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s>
      <w:overflowPunct w:val="0"/>
      <w:adjustRightInd w:val="0"/>
      <w:spacing w:before="140" w:after="140" w:line="360" w:lineRule="atLeast"/>
      <w:jc w:val="both"/>
      <w:textAlignment w:val="baseline"/>
      <w:outlineLvl w:val="7"/>
    </w:pPr>
    <w:rPr>
      <w:rFonts w:ascii="Arial" w:hAnsi="Arial"/>
      <w:b/>
      <w:sz w:val="20"/>
      <w:szCs w:val="20"/>
      <w:lang w:val="fr-FR" w:eastAsia="id-ID"/>
    </w:rPr>
  </w:style>
  <w:style w:type="paragraph" w:styleId="Heading9">
    <w:name w:val="heading 9"/>
    <w:basedOn w:val="Heading1"/>
    <w:next w:val="Normal"/>
    <w:link w:val="Heading9Char"/>
    <w:qFormat/>
    <w:rsid w:val="00A51AE4"/>
    <w:pPr>
      <w:widowControl/>
      <w:tabs>
        <w:tab w:val="left" w:pos="567"/>
        <w:tab w:val="left" w:pos="1152"/>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s>
      <w:overflowPunct w:val="0"/>
      <w:adjustRightInd w:val="0"/>
      <w:spacing w:before="140" w:after="140" w:line="288" w:lineRule="auto"/>
      <w:ind w:left="567" w:hanging="567"/>
      <w:textAlignment w:val="baseline"/>
      <w:outlineLvl w:val="8"/>
    </w:pPr>
    <w:rPr>
      <w:rFonts w:ascii="PalmSprings" w:hAnsi="PalmSprings"/>
      <w:bCs w:val="0"/>
      <w:i/>
      <w:kern w:val="28"/>
      <w:sz w:val="20"/>
      <w:szCs w:val="20"/>
      <w:lang w:val="fr-FR"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Tabel Char"/>
    <w:link w:val="Heading1"/>
    <w:locked/>
    <w:rsid w:val="00430501"/>
    <w:rPr>
      <w:rFonts w:ascii="Times New Roman" w:hAnsi="Times New Roman"/>
      <w:b/>
      <w:bCs/>
      <w:kern w:val="32"/>
      <w:sz w:val="22"/>
      <w:szCs w:val="32"/>
    </w:rPr>
  </w:style>
  <w:style w:type="character" w:customStyle="1" w:styleId="Heading2Char">
    <w:name w:val="Heading 2 Char"/>
    <w:aliases w:val="Judul Gambar Char"/>
    <w:link w:val="Heading2"/>
    <w:locked/>
    <w:rsid w:val="0001554F"/>
    <w:rPr>
      <w:rFonts w:ascii="Times New Roman" w:hAnsi="Times New Roman" w:cs="Times New Roman"/>
      <w:b/>
      <w:bCs/>
      <w:color w:val="000000"/>
      <w:sz w:val="26"/>
      <w:szCs w:val="26"/>
    </w:rPr>
  </w:style>
  <w:style w:type="paragraph" w:customStyle="1" w:styleId="Default">
    <w:name w:val="Default"/>
    <w:rsid w:val="009C2AB4"/>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E840E5"/>
    <w:pPr>
      <w:tabs>
        <w:tab w:val="center" w:pos="4680"/>
        <w:tab w:val="right" w:pos="9360"/>
      </w:tabs>
    </w:pPr>
  </w:style>
  <w:style w:type="character" w:customStyle="1" w:styleId="HeaderChar">
    <w:name w:val="Header Char"/>
    <w:link w:val="Header"/>
    <w:uiPriority w:val="99"/>
    <w:locked/>
    <w:rsid w:val="00E840E5"/>
    <w:rPr>
      <w:rFonts w:ascii="Times New Roman" w:hAnsi="Times New Roman" w:cs="Times New Roman"/>
      <w:sz w:val="24"/>
      <w:szCs w:val="24"/>
    </w:rPr>
  </w:style>
  <w:style w:type="paragraph" w:styleId="Footer">
    <w:name w:val="footer"/>
    <w:basedOn w:val="Normal"/>
    <w:link w:val="FooterChar"/>
    <w:uiPriority w:val="99"/>
    <w:unhideWhenUsed/>
    <w:rsid w:val="00B155FA"/>
    <w:pPr>
      <w:widowControl/>
      <w:tabs>
        <w:tab w:val="center" w:pos="4680"/>
        <w:tab w:val="right" w:pos="9360"/>
      </w:tabs>
      <w:autoSpaceDE/>
      <w:autoSpaceDN/>
      <w:spacing w:after="200" w:line="276" w:lineRule="auto"/>
      <w:jc w:val="both"/>
    </w:pPr>
    <w:rPr>
      <w:rFonts w:ascii="Calibri" w:hAnsi="Calibri"/>
      <w:sz w:val="20"/>
      <w:szCs w:val="20"/>
    </w:rPr>
  </w:style>
  <w:style w:type="character" w:customStyle="1" w:styleId="FooterChar">
    <w:name w:val="Footer Char"/>
    <w:link w:val="Footer"/>
    <w:uiPriority w:val="99"/>
    <w:locked/>
    <w:rsid w:val="00B155FA"/>
    <w:rPr>
      <w:rFonts w:ascii="Calibri" w:hAnsi="Calibri" w:cs="Times New Roman"/>
    </w:rPr>
  </w:style>
  <w:style w:type="paragraph" w:styleId="TOC1">
    <w:name w:val="toc 1"/>
    <w:aliases w:val="daftar isi"/>
    <w:basedOn w:val="Normal"/>
    <w:next w:val="Normal"/>
    <w:autoRedefine/>
    <w:uiPriority w:val="39"/>
    <w:unhideWhenUsed/>
    <w:rsid w:val="00FD3068"/>
    <w:pPr>
      <w:tabs>
        <w:tab w:val="right" w:leader="dot" w:pos="7928"/>
      </w:tabs>
      <w:spacing w:before="120"/>
    </w:pPr>
    <w:rPr>
      <w:b/>
      <w:noProof/>
    </w:rPr>
  </w:style>
  <w:style w:type="paragraph" w:styleId="TOC2">
    <w:name w:val="toc 2"/>
    <w:basedOn w:val="Normal"/>
    <w:next w:val="Normal"/>
    <w:autoRedefine/>
    <w:uiPriority w:val="39"/>
    <w:unhideWhenUsed/>
    <w:qFormat/>
    <w:rsid w:val="002D0C3D"/>
    <w:pPr>
      <w:ind w:left="240"/>
    </w:pPr>
  </w:style>
  <w:style w:type="character" w:styleId="Hyperlink">
    <w:name w:val="Hyperlink"/>
    <w:uiPriority w:val="99"/>
    <w:unhideWhenUsed/>
    <w:rsid w:val="002D0C3D"/>
    <w:rPr>
      <w:rFonts w:cs="Times New Roman"/>
      <w:color w:val="0000FF"/>
      <w:u w:val="single"/>
    </w:rPr>
  </w:style>
  <w:style w:type="paragraph" w:styleId="BalloonText">
    <w:name w:val="Balloon Text"/>
    <w:basedOn w:val="Normal"/>
    <w:link w:val="BalloonTextChar"/>
    <w:uiPriority w:val="99"/>
    <w:semiHidden/>
    <w:unhideWhenUsed/>
    <w:rsid w:val="00812772"/>
    <w:rPr>
      <w:rFonts w:ascii="Tahoma" w:hAnsi="Tahoma"/>
      <w:sz w:val="16"/>
      <w:szCs w:val="16"/>
    </w:rPr>
  </w:style>
  <w:style w:type="character" w:customStyle="1" w:styleId="BalloonTextChar">
    <w:name w:val="Balloon Text Char"/>
    <w:link w:val="BalloonText"/>
    <w:uiPriority w:val="99"/>
    <w:semiHidden/>
    <w:rsid w:val="00812772"/>
    <w:rPr>
      <w:rFonts w:ascii="Tahoma" w:hAnsi="Tahoma" w:cs="Tahoma"/>
      <w:sz w:val="16"/>
      <w:szCs w:val="16"/>
    </w:rPr>
  </w:style>
  <w:style w:type="paragraph" w:styleId="ListParagraph">
    <w:name w:val="List Paragraph"/>
    <w:aliases w:val="coba1"/>
    <w:basedOn w:val="Normal"/>
    <w:uiPriority w:val="34"/>
    <w:qFormat/>
    <w:rsid w:val="005C4669"/>
    <w:pPr>
      <w:widowControl/>
      <w:autoSpaceDE/>
      <w:autoSpaceDN/>
      <w:spacing w:line="360" w:lineRule="auto"/>
      <w:ind w:left="720"/>
      <w:contextualSpacing/>
      <w:jc w:val="both"/>
    </w:pPr>
    <w:rPr>
      <w:rFonts w:eastAsia="Calibri"/>
      <w:szCs w:val="22"/>
    </w:rPr>
  </w:style>
  <w:style w:type="paragraph" w:styleId="Caption">
    <w:name w:val="caption"/>
    <w:basedOn w:val="Normal"/>
    <w:next w:val="Normal"/>
    <w:link w:val="CaptionChar"/>
    <w:uiPriority w:val="35"/>
    <w:unhideWhenUsed/>
    <w:qFormat/>
    <w:rsid w:val="005C4669"/>
    <w:pPr>
      <w:widowControl/>
      <w:autoSpaceDE/>
      <w:autoSpaceDN/>
      <w:spacing w:line="360" w:lineRule="auto"/>
      <w:jc w:val="both"/>
    </w:pPr>
    <w:rPr>
      <w:rFonts w:eastAsia="Calibri"/>
      <w:b/>
      <w:bCs/>
      <w:szCs w:val="20"/>
    </w:rPr>
  </w:style>
  <w:style w:type="character" w:customStyle="1" w:styleId="CaptionChar">
    <w:name w:val="Caption Char"/>
    <w:link w:val="Caption"/>
    <w:uiPriority w:val="35"/>
    <w:rsid w:val="005C4669"/>
    <w:rPr>
      <w:rFonts w:ascii="Times New Roman" w:eastAsia="Calibri" w:hAnsi="Times New Roman"/>
      <w:b/>
      <w:bCs/>
      <w:sz w:val="24"/>
    </w:rPr>
  </w:style>
  <w:style w:type="paragraph" w:customStyle="1" w:styleId="TabelJudul1">
    <w:name w:val="TabelJudul1"/>
    <w:basedOn w:val="TableofFigures"/>
    <w:link w:val="TabelJudul1Char1"/>
    <w:rsid w:val="005C4669"/>
    <w:pPr>
      <w:widowControl/>
      <w:autoSpaceDE/>
      <w:autoSpaceDN/>
      <w:spacing w:before="120" w:after="60"/>
      <w:ind w:left="1152" w:hanging="1152"/>
      <w:jc w:val="both"/>
    </w:pPr>
    <w:rPr>
      <w:rFonts w:eastAsia="Calibri"/>
    </w:rPr>
  </w:style>
  <w:style w:type="character" w:customStyle="1" w:styleId="TabelJudul1Char1">
    <w:name w:val="TabelJudul1 Char1"/>
    <w:link w:val="TabelJudul1"/>
    <w:rsid w:val="005C4669"/>
    <w:rPr>
      <w:rFonts w:ascii="Times New Roman" w:eastAsia="Calibri" w:hAnsi="Times New Roman"/>
      <w:sz w:val="24"/>
      <w:szCs w:val="24"/>
    </w:rPr>
  </w:style>
  <w:style w:type="paragraph" w:styleId="TableofFigures">
    <w:name w:val="table of figures"/>
    <w:basedOn w:val="Normal"/>
    <w:next w:val="Normal"/>
    <w:link w:val="TableofFiguresChar"/>
    <w:uiPriority w:val="99"/>
    <w:unhideWhenUsed/>
    <w:rsid w:val="005C4669"/>
  </w:style>
  <w:style w:type="paragraph" w:customStyle="1" w:styleId="judul2">
    <w:name w:val="judul2"/>
    <w:basedOn w:val="Heading2"/>
    <w:link w:val="judul2Char"/>
    <w:qFormat/>
    <w:rsid w:val="002011B2"/>
    <w:pPr>
      <w:keepNext w:val="0"/>
      <w:keepLines w:val="0"/>
      <w:widowControl/>
      <w:tabs>
        <w:tab w:val="left" w:pos="0"/>
      </w:tabs>
      <w:autoSpaceDE/>
      <w:autoSpaceDN/>
      <w:spacing w:after="120" w:line="240" w:lineRule="auto"/>
    </w:pPr>
    <w:rPr>
      <w:rFonts w:eastAsia="Calibri"/>
      <w:color w:val="auto"/>
      <w:sz w:val="24"/>
      <w:szCs w:val="24"/>
    </w:rPr>
  </w:style>
  <w:style w:type="character" w:customStyle="1" w:styleId="judul2Char">
    <w:name w:val="judul2 Char"/>
    <w:link w:val="judul2"/>
    <w:rsid w:val="002011B2"/>
    <w:rPr>
      <w:rFonts w:ascii="Times New Roman" w:eastAsia="Calibri" w:hAnsi="Times New Roman"/>
      <w:b/>
      <w:bCs/>
      <w:sz w:val="24"/>
      <w:szCs w:val="24"/>
    </w:rPr>
  </w:style>
  <w:style w:type="paragraph" w:customStyle="1" w:styleId="GambarJudul1">
    <w:name w:val="GambarJudul1"/>
    <w:basedOn w:val="TableofFigures"/>
    <w:link w:val="GambarJudul1Char"/>
    <w:qFormat/>
    <w:rsid w:val="002011B2"/>
    <w:pPr>
      <w:widowControl/>
      <w:tabs>
        <w:tab w:val="left" w:pos="1296"/>
      </w:tabs>
      <w:autoSpaceDE/>
      <w:autoSpaceDN/>
      <w:spacing w:after="240"/>
      <w:ind w:left="1296" w:hanging="1296"/>
      <w:jc w:val="both"/>
    </w:pPr>
    <w:rPr>
      <w:rFonts w:eastAsia="Calibri"/>
      <w:szCs w:val="22"/>
    </w:rPr>
  </w:style>
  <w:style w:type="character" w:customStyle="1" w:styleId="GambarJudul1Char">
    <w:name w:val="GambarJudul1 Char"/>
    <w:link w:val="GambarJudul1"/>
    <w:rsid w:val="002011B2"/>
    <w:rPr>
      <w:rFonts w:ascii="Times New Roman" w:eastAsia="Calibri" w:hAnsi="Times New Roman"/>
      <w:sz w:val="24"/>
      <w:szCs w:val="22"/>
    </w:rPr>
  </w:style>
  <w:style w:type="paragraph" w:customStyle="1" w:styleId="judul3">
    <w:name w:val="judul3"/>
    <w:basedOn w:val="Heading3"/>
    <w:link w:val="judul3Char"/>
    <w:qFormat/>
    <w:rsid w:val="008818CB"/>
    <w:pPr>
      <w:keepLines w:val="0"/>
      <w:widowControl/>
      <w:autoSpaceDE/>
      <w:autoSpaceDN/>
      <w:spacing w:before="120" w:after="120"/>
      <w:ind w:left="720" w:hanging="720"/>
      <w:jc w:val="both"/>
    </w:pPr>
    <w:rPr>
      <w:rFonts w:ascii="Times New Roman" w:hAnsi="Times New Roman"/>
      <w:color w:val="auto"/>
    </w:rPr>
  </w:style>
  <w:style w:type="character" w:customStyle="1" w:styleId="judul3Char">
    <w:name w:val="judul3 Char"/>
    <w:link w:val="judul3"/>
    <w:rsid w:val="008818CB"/>
    <w:rPr>
      <w:rFonts w:ascii="Times New Roman" w:hAnsi="Times New Roman"/>
      <w:b/>
      <w:bCs/>
      <w:sz w:val="24"/>
      <w:szCs w:val="24"/>
    </w:rPr>
  </w:style>
  <w:style w:type="character" w:customStyle="1" w:styleId="Heading3Char">
    <w:name w:val="Heading 3 Char"/>
    <w:link w:val="Heading3"/>
    <w:rsid w:val="008818CB"/>
    <w:rPr>
      <w:rFonts w:ascii="Cambria" w:eastAsia="Times New Roman" w:hAnsi="Cambria" w:cs="Times New Roman"/>
      <w:b/>
      <w:bCs/>
      <w:color w:val="4F81BD"/>
      <w:sz w:val="24"/>
      <w:szCs w:val="24"/>
    </w:rPr>
  </w:style>
  <w:style w:type="paragraph" w:styleId="ListBullet">
    <w:name w:val="List Bullet"/>
    <w:basedOn w:val="Normal"/>
    <w:uiPriority w:val="99"/>
    <w:unhideWhenUsed/>
    <w:rsid w:val="00E815F3"/>
    <w:pPr>
      <w:numPr>
        <w:numId w:val="15"/>
      </w:numPr>
      <w:contextualSpacing/>
    </w:pPr>
  </w:style>
  <w:style w:type="paragraph" w:styleId="TOC3">
    <w:name w:val="toc 3"/>
    <w:basedOn w:val="Normal"/>
    <w:next w:val="Normal"/>
    <w:autoRedefine/>
    <w:uiPriority w:val="39"/>
    <w:unhideWhenUsed/>
    <w:qFormat/>
    <w:rsid w:val="00716663"/>
    <w:pPr>
      <w:spacing w:after="100"/>
      <w:ind w:left="480"/>
    </w:pPr>
  </w:style>
  <w:style w:type="character" w:customStyle="1" w:styleId="font-02b">
    <w:name w:val="font-02b"/>
    <w:basedOn w:val="DefaultParagraphFont"/>
    <w:rsid w:val="006B2C4B"/>
  </w:style>
  <w:style w:type="paragraph" w:styleId="BodyText">
    <w:name w:val="Body Text"/>
    <w:basedOn w:val="Normal"/>
    <w:link w:val="BodyTextChar"/>
    <w:uiPriority w:val="99"/>
    <w:rsid w:val="00915A92"/>
    <w:pPr>
      <w:widowControl/>
      <w:autoSpaceDE/>
      <w:autoSpaceDN/>
      <w:jc w:val="both"/>
    </w:pPr>
  </w:style>
  <w:style w:type="character" w:customStyle="1" w:styleId="BodyTextChar">
    <w:name w:val="Body Text Char"/>
    <w:link w:val="BodyText"/>
    <w:uiPriority w:val="99"/>
    <w:rsid w:val="00915A92"/>
    <w:rPr>
      <w:rFonts w:ascii="Times New Roman" w:hAnsi="Times New Roman"/>
      <w:sz w:val="24"/>
      <w:szCs w:val="24"/>
    </w:rPr>
  </w:style>
  <w:style w:type="character" w:customStyle="1" w:styleId="st">
    <w:name w:val="st"/>
    <w:rsid w:val="00915A92"/>
    <w:rPr>
      <w:rFonts w:cs="Times New Roman"/>
    </w:rPr>
  </w:style>
  <w:style w:type="character" w:customStyle="1" w:styleId="Heading4Char">
    <w:name w:val="Heading 4 Char"/>
    <w:link w:val="Heading4"/>
    <w:rsid w:val="00A51AE4"/>
    <w:rPr>
      <w:b/>
      <w:bCs/>
      <w:sz w:val="28"/>
      <w:szCs w:val="28"/>
    </w:rPr>
  </w:style>
  <w:style w:type="character" w:customStyle="1" w:styleId="Heading5Char">
    <w:name w:val="Heading 5 Char"/>
    <w:link w:val="Heading5"/>
    <w:uiPriority w:val="9"/>
    <w:rsid w:val="00A51AE4"/>
    <w:rPr>
      <w:b/>
      <w:bCs/>
      <w:i/>
      <w:iCs/>
      <w:sz w:val="26"/>
      <w:szCs w:val="26"/>
    </w:rPr>
  </w:style>
  <w:style w:type="character" w:customStyle="1" w:styleId="Heading6Char">
    <w:name w:val="Heading 6 Char"/>
    <w:link w:val="Heading6"/>
    <w:rsid w:val="00A51AE4"/>
    <w:rPr>
      <w:rFonts w:ascii="Times New Roman" w:hAnsi="Times New Roman"/>
      <w:b/>
      <w:bCs/>
      <w:sz w:val="15"/>
      <w:szCs w:val="15"/>
    </w:rPr>
  </w:style>
  <w:style w:type="character" w:customStyle="1" w:styleId="Heading7Char">
    <w:name w:val="Heading 7 Char"/>
    <w:link w:val="Heading7"/>
    <w:rsid w:val="00A51AE4"/>
    <w:rPr>
      <w:rFonts w:ascii="Arial" w:hAnsi="Arial" w:cs="Arial"/>
      <w:b/>
      <w:kern w:val="28"/>
      <w:lang w:val="fr-FR" w:eastAsia="id-ID"/>
    </w:rPr>
  </w:style>
  <w:style w:type="character" w:customStyle="1" w:styleId="Heading8Char">
    <w:name w:val="Heading 8 Char"/>
    <w:link w:val="Heading8"/>
    <w:rsid w:val="00A51AE4"/>
    <w:rPr>
      <w:rFonts w:ascii="Arial" w:hAnsi="Arial"/>
      <w:b/>
      <w:lang w:val="fr-FR" w:eastAsia="id-ID"/>
    </w:rPr>
  </w:style>
  <w:style w:type="character" w:customStyle="1" w:styleId="Heading9Char">
    <w:name w:val="Heading 9 Char"/>
    <w:link w:val="Heading9"/>
    <w:rsid w:val="00A51AE4"/>
    <w:rPr>
      <w:rFonts w:ascii="PalmSprings" w:hAnsi="PalmSprings" w:cs="Arial"/>
      <w:b/>
      <w:i/>
      <w:kern w:val="28"/>
      <w:lang w:val="fr-FR" w:eastAsia="id-ID"/>
    </w:rPr>
  </w:style>
  <w:style w:type="numbering" w:customStyle="1" w:styleId="NoList1">
    <w:name w:val="No List1"/>
    <w:next w:val="NoList"/>
    <w:uiPriority w:val="99"/>
    <w:semiHidden/>
    <w:unhideWhenUsed/>
    <w:rsid w:val="00A51AE4"/>
  </w:style>
  <w:style w:type="paragraph" w:styleId="NormalWeb">
    <w:name w:val="Normal (Web)"/>
    <w:basedOn w:val="Normal"/>
    <w:link w:val="NormalWebChar"/>
    <w:uiPriority w:val="99"/>
    <w:unhideWhenUsed/>
    <w:rsid w:val="00A51AE4"/>
    <w:pPr>
      <w:widowControl/>
      <w:autoSpaceDE/>
      <w:autoSpaceDN/>
      <w:spacing w:before="100" w:beforeAutospacing="1" w:after="100" w:afterAutospacing="1"/>
      <w:jc w:val="both"/>
    </w:pPr>
  </w:style>
  <w:style w:type="character" w:customStyle="1" w:styleId="ilad">
    <w:name w:val="il_ad"/>
    <w:basedOn w:val="DefaultParagraphFont"/>
    <w:rsid w:val="00A51AE4"/>
  </w:style>
  <w:style w:type="paragraph" w:styleId="PlainText">
    <w:name w:val="Plain Text"/>
    <w:basedOn w:val="Normal"/>
    <w:link w:val="PlainTextChar"/>
    <w:uiPriority w:val="99"/>
    <w:unhideWhenUsed/>
    <w:rsid w:val="00A51AE4"/>
    <w:pPr>
      <w:widowControl/>
      <w:autoSpaceDE/>
      <w:autoSpaceDN/>
      <w:jc w:val="both"/>
    </w:pPr>
    <w:rPr>
      <w:rFonts w:ascii="Consolas" w:eastAsia="Calibri" w:hAnsi="Consolas"/>
      <w:sz w:val="21"/>
      <w:szCs w:val="21"/>
    </w:rPr>
  </w:style>
  <w:style w:type="character" w:customStyle="1" w:styleId="PlainTextChar">
    <w:name w:val="Plain Text Char"/>
    <w:link w:val="PlainText"/>
    <w:uiPriority w:val="99"/>
    <w:rsid w:val="00A51AE4"/>
    <w:rPr>
      <w:rFonts w:ascii="Consolas" w:eastAsia="Calibri" w:hAnsi="Consolas"/>
      <w:sz w:val="21"/>
      <w:szCs w:val="21"/>
    </w:rPr>
  </w:style>
  <w:style w:type="character" w:styleId="Emphasis">
    <w:name w:val="Emphasis"/>
    <w:aliases w:val="Coba"/>
    <w:uiPriority w:val="20"/>
    <w:qFormat/>
    <w:rsid w:val="00A51AE4"/>
    <w:rPr>
      <w:i/>
      <w:iCs/>
    </w:rPr>
  </w:style>
  <w:style w:type="table" w:styleId="TableGrid">
    <w:name w:val="Table Grid"/>
    <w:basedOn w:val="TableNormal"/>
    <w:uiPriority w:val="39"/>
    <w:rsid w:val="00A51AE4"/>
    <w:pPr>
      <w:jc w:val="both"/>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rsid w:val="00A51AE4"/>
    <w:pPr>
      <w:widowControl/>
      <w:autoSpaceDE/>
      <w:autoSpaceDN/>
      <w:ind w:left="360"/>
      <w:jc w:val="both"/>
    </w:pPr>
    <w:rPr>
      <w:lang w:val="af-ZA"/>
    </w:rPr>
  </w:style>
  <w:style w:type="character" w:customStyle="1" w:styleId="BodyTextIndent2Char">
    <w:name w:val="Body Text Indent 2 Char"/>
    <w:link w:val="BodyTextIndent2"/>
    <w:rsid w:val="00A51AE4"/>
    <w:rPr>
      <w:rFonts w:ascii="Times New Roman" w:hAnsi="Times New Roman"/>
      <w:sz w:val="24"/>
      <w:szCs w:val="24"/>
      <w:lang w:val="af-ZA"/>
    </w:rPr>
  </w:style>
  <w:style w:type="paragraph" w:styleId="BodyTextIndent3">
    <w:name w:val="Body Text Indent 3"/>
    <w:basedOn w:val="Normal"/>
    <w:link w:val="BodyTextIndent3Char"/>
    <w:uiPriority w:val="99"/>
    <w:semiHidden/>
    <w:unhideWhenUsed/>
    <w:rsid w:val="00A51AE4"/>
    <w:pPr>
      <w:widowControl/>
      <w:autoSpaceDE/>
      <w:autoSpaceDN/>
      <w:spacing w:after="120" w:line="360" w:lineRule="auto"/>
      <w:ind w:left="360"/>
      <w:jc w:val="both"/>
    </w:pPr>
    <w:rPr>
      <w:rFonts w:eastAsia="Calibri"/>
      <w:sz w:val="16"/>
      <w:szCs w:val="16"/>
    </w:rPr>
  </w:style>
  <w:style w:type="character" w:customStyle="1" w:styleId="BodyTextIndent3Char">
    <w:name w:val="Body Text Indent 3 Char"/>
    <w:link w:val="BodyTextIndent3"/>
    <w:uiPriority w:val="99"/>
    <w:semiHidden/>
    <w:rsid w:val="00A51AE4"/>
    <w:rPr>
      <w:rFonts w:ascii="Times New Roman" w:eastAsia="Calibri" w:hAnsi="Times New Roman"/>
      <w:sz w:val="16"/>
      <w:szCs w:val="16"/>
    </w:rPr>
  </w:style>
  <w:style w:type="paragraph" w:styleId="BodyText3">
    <w:name w:val="Body Text 3"/>
    <w:basedOn w:val="Normal"/>
    <w:link w:val="BodyText3Char"/>
    <w:uiPriority w:val="99"/>
    <w:semiHidden/>
    <w:unhideWhenUsed/>
    <w:rsid w:val="00A51AE4"/>
    <w:pPr>
      <w:widowControl/>
      <w:autoSpaceDE/>
      <w:autoSpaceDN/>
      <w:spacing w:after="120" w:line="360" w:lineRule="auto"/>
      <w:jc w:val="both"/>
    </w:pPr>
    <w:rPr>
      <w:rFonts w:eastAsia="Calibri"/>
      <w:sz w:val="16"/>
      <w:szCs w:val="16"/>
    </w:rPr>
  </w:style>
  <w:style w:type="character" w:customStyle="1" w:styleId="BodyText3Char">
    <w:name w:val="Body Text 3 Char"/>
    <w:link w:val="BodyText3"/>
    <w:uiPriority w:val="99"/>
    <w:semiHidden/>
    <w:rsid w:val="00A51AE4"/>
    <w:rPr>
      <w:rFonts w:ascii="Times New Roman" w:eastAsia="Calibri" w:hAnsi="Times New Roman"/>
      <w:sz w:val="16"/>
      <w:szCs w:val="16"/>
    </w:rPr>
  </w:style>
  <w:style w:type="character" w:customStyle="1" w:styleId="longtext">
    <w:name w:val="long_text"/>
    <w:basedOn w:val="DefaultParagraphFont"/>
    <w:rsid w:val="00A51AE4"/>
  </w:style>
  <w:style w:type="paragraph" w:styleId="FootnoteText">
    <w:name w:val="footnote text"/>
    <w:basedOn w:val="Normal"/>
    <w:link w:val="FootnoteTextChar"/>
    <w:semiHidden/>
    <w:rsid w:val="00A51AE4"/>
    <w:pPr>
      <w:widowControl/>
      <w:autoSpaceDE/>
      <w:autoSpaceDN/>
      <w:jc w:val="both"/>
    </w:pPr>
    <w:rPr>
      <w:sz w:val="20"/>
      <w:szCs w:val="20"/>
    </w:rPr>
  </w:style>
  <w:style w:type="character" w:customStyle="1" w:styleId="FootnoteTextChar">
    <w:name w:val="Footnote Text Char"/>
    <w:link w:val="FootnoteText"/>
    <w:semiHidden/>
    <w:rsid w:val="00A51AE4"/>
    <w:rPr>
      <w:rFonts w:ascii="Times New Roman" w:hAnsi="Times New Roman"/>
    </w:rPr>
  </w:style>
  <w:style w:type="character" w:styleId="FootnoteReference">
    <w:name w:val="footnote reference"/>
    <w:semiHidden/>
    <w:rsid w:val="00A51AE4"/>
    <w:rPr>
      <w:vertAlign w:val="superscript"/>
    </w:rPr>
  </w:style>
  <w:style w:type="paragraph" w:styleId="BodyTextIndent">
    <w:name w:val="Body Text Indent"/>
    <w:basedOn w:val="Normal"/>
    <w:link w:val="BodyTextIndentChar"/>
    <w:unhideWhenUsed/>
    <w:rsid w:val="00A51AE4"/>
    <w:pPr>
      <w:widowControl/>
      <w:autoSpaceDE/>
      <w:autoSpaceDN/>
      <w:spacing w:after="120" w:line="360" w:lineRule="auto"/>
      <w:ind w:left="360"/>
      <w:jc w:val="both"/>
    </w:pPr>
    <w:rPr>
      <w:rFonts w:eastAsia="Calibri"/>
      <w:szCs w:val="22"/>
    </w:rPr>
  </w:style>
  <w:style w:type="character" w:customStyle="1" w:styleId="BodyTextIndentChar">
    <w:name w:val="Body Text Indent Char"/>
    <w:link w:val="BodyTextIndent"/>
    <w:rsid w:val="00A51AE4"/>
    <w:rPr>
      <w:rFonts w:ascii="Times New Roman" w:eastAsia="Calibri" w:hAnsi="Times New Roman"/>
      <w:sz w:val="24"/>
      <w:szCs w:val="22"/>
    </w:rPr>
  </w:style>
  <w:style w:type="character" w:customStyle="1" w:styleId="fsc1">
    <w:name w:val="fsc1"/>
    <w:rsid w:val="00A51AE4"/>
    <w:rPr>
      <w:rFonts w:ascii="Verdana" w:hAnsi="Verdana" w:hint="default"/>
      <w:color w:val="000000"/>
      <w:sz w:val="18"/>
      <w:szCs w:val="18"/>
    </w:rPr>
  </w:style>
  <w:style w:type="paragraph" w:customStyle="1" w:styleId="Normal5">
    <w:name w:val="Normal+5"/>
    <w:basedOn w:val="Default"/>
    <w:next w:val="Default"/>
    <w:uiPriority w:val="99"/>
    <w:rsid w:val="00A51AE4"/>
    <w:pPr>
      <w:jc w:val="both"/>
    </w:pPr>
    <w:rPr>
      <w:rFonts w:eastAsia="Calibri"/>
      <w:color w:val="auto"/>
    </w:rPr>
  </w:style>
  <w:style w:type="paragraph" w:customStyle="1" w:styleId="Normal6">
    <w:name w:val="Normal+6"/>
    <w:basedOn w:val="Default"/>
    <w:next w:val="Default"/>
    <w:uiPriority w:val="99"/>
    <w:rsid w:val="00A51AE4"/>
    <w:pPr>
      <w:jc w:val="both"/>
    </w:pPr>
    <w:rPr>
      <w:rFonts w:ascii="Arial" w:eastAsia="Calibri" w:hAnsi="Arial" w:cs="Arial"/>
      <w:color w:val="auto"/>
    </w:rPr>
  </w:style>
  <w:style w:type="character" w:styleId="Strong">
    <w:name w:val="Strong"/>
    <w:uiPriority w:val="22"/>
    <w:qFormat/>
    <w:rsid w:val="00A51AE4"/>
    <w:rPr>
      <w:b/>
      <w:bCs/>
    </w:rPr>
  </w:style>
  <w:style w:type="paragraph" w:styleId="TOCHeading">
    <w:name w:val="TOC Heading"/>
    <w:basedOn w:val="Heading1"/>
    <w:next w:val="Normal"/>
    <w:uiPriority w:val="39"/>
    <w:semiHidden/>
    <w:unhideWhenUsed/>
    <w:qFormat/>
    <w:rsid w:val="00A51AE4"/>
    <w:pPr>
      <w:keepLines/>
      <w:widowControl/>
      <w:tabs>
        <w:tab w:val="left" w:pos="1152"/>
      </w:tabs>
      <w:autoSpaceDE/>
      <w:autoSpaceDN/>
      <w:spacing w:before="480" w:after="0"/>
      <w:ind w:left="1152" w:hanging="1152"/>
      <w:outlineLvl w:val="9"/>
    </w:pPr>
    <w:rPr>
      <w:color w:val="365F91"/>
      <w:kern w:val="0"/>
      <w:sz w:val="28"/>
      <w:szCs w:val="28"/>
    </w:rPr>
  </w:style>
  <w:style w:type="paragraph" w:customStyle="1" w:styleId="judul1">
    <w:name w:val="judul1"/>
    <w:basedOn w:val="Heading1"/>
    <w:link w:val="judul1Char"/>
    <w:qFormat/>
    <w:rsid w:val="00A970B0"/>
    <w:pPr>
      <w:widowControl/>
      <w:tabs>
        <w:tab w:val="left" w:pos="1152"/>
      </w:tabs>
      <w:autoSpaceDE/>
      <w:autoSpaceDN/>
      <w:spacing w:before="0"/>
      <w:ind w:left="1152" w:hanging="1152"/>
      <w:jc w:val="center"/>
    </w:pPr>
    <w:rPr>
      <w:b w:val="0"/>
      <w:bCs w:val="0"/>
      <w:sz w:val="28"/>
      <w:szCs w:val="28"/>
    </w:rPr>
  </w:style>
  <w:style w:type="character" w:customStyle="1" w:styleId="judul1Char">
    <w:name w:val="judul1 Char"/>
    <w:link w:val="judul1"/>
    <w:rsid w:val="00A970B0"/>
    <w:rPr>
      <w:rFonts w:ascii="Times New Roman" w:hAnsi="Times New Roman"/>
      <w:b w:val="0"/>
      <w:bCs w:val="0"/>
      <w:kern w:val="32"/>
      <w:sz w:val="28"/>
      <w:szCs w:val="28"/>
    </w:rPr>
  </w:style>
  <w:style w:type="paragraph" w:customStyle="1" w:styleId="JudulTabel">
    <w:name w:val="Judul Tabel"/>
    <w:basedOn w:val="judul2"/>
    <w:link w:val="JudulTabelChar"/>
    <w:rsid w:val="00A51AE4"/>
    <w:pPr>
      <w:spacing w:before="120" w:after="0"/>
    </w:pPr>
    <w:rPr>
      <w:b w:val="0"/>
      <w:bCs w:val="0"/>
    </w:rPr>
  </w:style>
  <w:style w:type="character" w:customStyle="1" w:styleId="JudulTabelChar">
    <w:name w:val="Judul Tabel Char"/>
    <w:link w:val="JudulTabel"/>
    <w:rsid w:val="00A51AE4"/>
    <w:rPr>
      <w:rFonts w:ascii="Times New Roman" w:eastAsia="Calibri" w:hAnsi="Times New Roman"/>
      <w:b w:val="0"/>
      <w:bCs w:val="0"/>
      <w:sz w:val="24"/>
      <w:szCs w:val="24"/>
    </w:rPr>
  </w:style>
  <w:style w:type="paragraph" w:customStyle="1" w:styleId="judul4">
    <w:name w:val="judul4"/>
    <w:basedOn w:val="Heading4"/>
    <w:link w:val="judul4Char"/>
    <w:qFormat/>
    <w:rsid w:val="00A51AE4"/>
    <w:pPr>
      <w:spacing w:before="120" w:after="0"/>
    </w:pPr>
    <w:rPr>
      <w:rFonts w:ascii="Times New Roman" w:hAnsi="Times New Roman"/>
      <w:i/>
      <w:sz w:val="24"/>
    </w:rPr>
  </w:style>
  <w:style w:type="character" w:customStyle="1" w:styleId="NormalWebChar">
    <w:name w:val="Normal (Web) Char"/>
    <w:link w:val="NormalWeb"/>
    <w:uiPriority w:val="99"/>
    <w:rsid w:val="00A51AE4"/>
    <w:rPr>
      <w:rFonts w:ascii="Times New Roman" w:hAnsi="Times New Roman"/>
      <w:sz w:val="24"/>
      <w:szCs w:val="24"/>
    </w:rPr>
  </w:style>
  <w:style w:type="character" w:customStyle="1" w:styleId="judul4Char">
    <w:name w:val="judul4 Char"/>
    <w:link w:val="judul4"/>
    <w:rsid w:val="00A51AE4"/>
    <w:rPr>
      <w:rFonts w:ascii="Times New Roman" w:hAnsi="Times New Roman"/>
      <w:b/>
      <w:bCs/>
      <w:i/>
      <w:sz w:val="24"/>
      <w:szCs w:val="28"/>
    </w:rPr>
  </w:style>
  <w:style w:type="paragraph" w:styleId="TOC4">
    <w:name w:val="toc 4"/>
    <w:basedOn w:val="Normal"/>
    <w:next w:val="Normal"/>
    <w:autoRedefine/>
    <w:uiPriority w:val="39"/>
    <w:unhideWhenUsed/>
    <w:rsid w:val="00A51AE4"/>
    <w:pPr>
      <w:widowControl/>
      <w:tabs>
        <w:tab w:val="right" w:leader="dot" w:pos="8280"/>
      </w:tabs>
      <w:autoSpaceDE/>
      <w:autoSpaceDN/>
      <w:ind w:left="1440" w:right="263" w:hanging="780"/>
      <w:jc w:val="both"/>
    </w:pPr>
    <w:rPr>
      <w:rFonts w:ascii="Calibri" w:eastAsia="Calibri" w:hAnsi="Calibri"/>
      <w:sz w:val="18"/>
      <w:szCs w:val="18"/>
    </w:rPr>
  </w:style>
  <w:style w:type="paragraph" w:styleId="TOC5">
    <w:name w:val="toc 5"/>
    <w:basedOn w:val="Normal"/>
    <w:next w:val="Normal"/>
    <w:autoRedefine/>
    <w:uiPriority w:val="39"/>
    <w:unhideWhenUsed/>
    <w:rsid w:val="00A51AE4"/>
    <w:pPr>
      <w:widowControl/>
      <w:autoSpaceDE/>
      <w:autoSpaceDN/>
      <w:spacing w:line="360" w:lineRule="auto"/>
      <w:ind w:left="880"/>
      <w:jc w:val="both"/>
    </w:pPr>
    <w:rPr>
      <w:rFonts w:ascii="Calibri" w:eastAsia="Calibri" w:hAnsi="Calibri"/>
      <w:sz w:val="18"/>
      <w:szCs w:val="18"/>
    </w:rPr>
  </w:style>
  <w:style w:type="paragraph" w:styleId="TOC6">
    <w:name w:val="toc 6"/>
    <w:basedOn w:val="Normal"/>
    <w:next w:val="Normal"/>
    <w:autoRedefine/>
    <w:uiPriority w:val="39"/>
    <w:unhideWhenUsed/>
    <w:rsid w:val="00A51AE4"/>
    <w:pPr>
      <w:widowControl/>
      <w:autoSpaceDE/>
      <w:autoSpaceDN/>
      <w:spacing w:line="360" w:lineRule="auto"/>
      <w:ind w:left="1100"/>
      <w:jc w:val="both"/>
    </w:pPr>
    <w:rPr>
      <w:rFonts w:ascii="Calibri" w:eastAsia="Calibri" w:hAnsi="Calibri"/>
      <w:sz w:val="18"/>
      <w:szCs w:val="18"/>
    </w:rPr>
  </w:style>
  <w:style w:type="paragraph" w:styleId="TOC7">
    <w:name w:val="toc 7"/>
    <w:basedOn w:val="Normal"/>
    <w:next w:val="Normal"/>
    <w:autoRedefine/>
    <w:uiPriority w:val="39"/>
    <w:unhideWhenUsed/>
    <w:rsid w:val="00A51AE4"/>
    <w:pPr>
      <w:widowControl/>
      <w:autoSpaceDE/>
      <w:autoSpaceDN/>
      <w:spacing w:line="360" w:lineRule="auto"/>
      <w:ind w:left="1320"/>
      <w:jc w:val="both"/>
    </w:pPr>
    <w:rPr>
      <w:rFonts w:ascii="Calibri" w:eastAsia="Calibri" w:hAnsi="Calibri"/>
      <w:sz w:val="18"/>
      <w:szCs w:val="18"/>
    </w:rPr>
  </w:style>
  <w:style w:type="paragraph" w:styleId="TOC8">
    <w:name w:val="toc 8"/>
    <w:basedOn w:val="Normal"/>
    <w:next w:val="Normal"/>
    <w:autoRedefine/>
    <w:uiPriority w:val="39"/>
    <w:unhideWhenUsed/>
    <w:rsid w:val="00A51AE4"/>
    <w:pPr>
      <w:widowControl/>
      <w:autoSpaceDE/>
      <w:autoSpaceDN/>
      <w:spacing w:line="360" w:lineRule="auto"/>
      <w:ind w:left="1540"/>
      <w:jc w:val="both"/>
    </w:pPr>
    <w:rPr>
      <w:rFonts w:ascii="Calibri" w:eastAsia="Calibri" w:hAnsi="Calibri"/>
      <w:sz w:val="18"/>
      <w:szCs w:val="18"/>
    </w:rPr>
  </w:style>
  <w:style w:type="paragraph" w:styleId="TOC9">
    <w:name w:val="toc 9"/>
    <w:basedOn w:val="Normal"/>
    <w:next w:val="Normal"/>
    <w:autoRedefine/>
    <w:uiPriority w:val="39"/>
    <w:unhideWhenUsed/>
    <w:rsid w:val="00A51AE4"/>
    <w:pPr>
      <w:widowControl/>
      <w:autoSpaceDE/>
      <w:autoSpaceDN/>
      <w:spacing w:line="360" w:lineRule="auto"/>
      <w:ind w:left="1760"/>
      <w:jc w:val="both"/>
    </w:pPr>
    <w:rPr>
      <w:rFonts w:ascii="Calibri" w:eastAsia="Calibri" w:hAnsi="Calibri"/>
      <w:sz w:val="18"/>
      <w:szCs w:val="18"/>
    </w:rPr>
  </w:style>
  <w:style w:type="paragraph" w:styleId="Revision">
    <w:name w:val="Revision"/>
    <w:hidden/>
    <w:uiPriority w:val="99"/>
    <w:semiHidden/>
    <w:rsid w:val="00A51AE4"/>
    <w:pPr>
      <w:jc w:val="both"/>
    </w:pPr>
    <w:rPr>
      <w:rFonts w:eastAsia="Calibri"/>
      <w:sz w:val="22"/>
      <w:szCs w:val="22"/>
    </w:rPr>
  </w:style>
  <w:style w:type="character" w:styleId="CommentReference">
    <w:name w:val="annotation reference"/>
    <w:uiPriority w:val="99"/>
    <w:semiHidden/>
    <w:unhideWhenUsed/>
    <w:rsid w:val="00A51AE4"/>
    <w:rPr>
      <w:sz w:val="16"/>
      <w:szCs w:val="16"/>
    </w:rPr>
  </w:style>
  <w:style w:type="paragraph" w:styleId="CommentText">
    <w:name w:val="annotation text"/>
    <w:basedOn w:val="Normal"/>
    <w:link w:val="CommentTextChar"/>
    <w:uiPriority w:val="99"/>
    <w:semiHidden/>
    <w:unhideWhenUsed/>
    <w:rsid w:val="00A51AE4"/>
    <w:pPr>
      <w:widowControl/>
      <w:autoSpaceDE/>
      <w:autoSpaceDN/>
      <w:spacing w:line="360" w:lineRule="auto"/>
      <w:jc w:val="both"/>
    </w:pPr>
    <w:rPr>
      <w:rFonts w:eastAsia="Calibri"/>
      <w:sz w:val="20"/>
      <w:szCs w:val="20"/>
    </w:rPr>
  </w:style>
  <w:style w:type="character" w:customStyle="1" w:styleId="CommentTextChar">
    <w:name w:val="Comment Text Char"/>
    <w:link w:val="CommentText"/>
    <w:uiPriority w:val="99"/>
    <w:semiHidden/>
    <w:rsid w:val="00A51AE4"/>
    <w:rPr>
      <w:rFonts w:ascii="Times New Roman" w:eastAsia="Calibri" w:hAnsi="Times New Roman"/>
    </w:rPr>
  </w:style>
  <w:style w:type="paragraph" w:styleId="CommentSubject">
    <w:name w:val="annotation subject"/>
    <w:basedOn w:val="CommentText"/>
    <w:next w:val="CommentText"/>
    <w:link w:val="CommentSubjectChar"/>
    <w:uiPriority w:val="99"/>
    <w:semiHidden/>
    <w:unhideWhenUsed/>
    <w:rsid w:val="00A51AE4"/>
    <w:rPr>
      <w:b/>
      <w:bCs/>
    </w:rPr>
  </w:style>
  <w:style w:type="character" w:customStyle="1" w:styleId="CommentSubjectChar">
    <w:name w:val="Comment Subject Char"/>
    <w:link w:val="CommentSubject"/>
    <w:uiPriority w:val="99"/>
    <w:semiHidden/>
    <w:rsid w:val="00A51AE4"/>
    <w:rPr>
      <w:rFonts w:ascii="Times New Roman" w:eastAsia="Calibri" w:hAnsi="Times New Roman"/>
      <w:b/>
      <w:bCs/>
    </w:rPr>
  </w:style>
  <w:style w:type="character" w:customStyle="1" w:styleId="Heading2Char1">
    <w:name w:val="Heading 2 Char1"/>
    <w:rsid w:val="00A51AE4"/>
    <w:rPr>
      <w:rFonts w:cs="Times New Roman"/>
      <w:b/>
      <w:bCs/>
      <w:lang w:val="en-US" w:eastAsia="en-US"/>
    </w:rPr>
  </w:style>
  <w:style w:type="character" w:customStyle="1" w:styleId="Heading3Char1">
    <w:name w:val="Heading 3 Char1"/>
    <w:rsid w:val="00A51AE4"/>
    <w:rPr>
      <w:rFonts w:cs="Times New Roman"/>
      <w:lang w:val="en-US" w:eastAsia="en-US"/>
    </w:rPr>
  </w:style>
  <w:style w:type="character" w:customStyle="1" w:styleId="Heading4Char1">
    <w:name w:val="Heading 4 Char1"/>
    <w:rsid w:val="00A51AE4"/>
    <w:rPr>
      <w:rFonts w:cs="Times New Roman"/>
      <w:b/>
      <w:bCs/>
      <w:sz w:val="28"/>
      <w:szCs w:val="28"/>
      <w:lang w:val="en-US" w:eastAsia="en-US"/>
    </w:rPr>
  </w:style>
  <w:style w:type="paragraph" w:styleId="Title">
    <w:name w:val="Title"/>
    <w:basedOn w:val="Normal"/>
    <w:link w:val="TitleChar"/>
    <w:qFormat/>
    <w:rsid w:val="00A51AE4"/>
    <w:pPr>
      <w:widowControl/>
      <w:autoSpaceDE/>
      <w:autoSpaceDN/>
      <w:jc w:val="center"/>
    </w:pPr>
    <w:rPr>
      <w:b/>
      <w:bCs/>
      <w:sz w:val="20"/>
      <w:szCs w:val="20"/>
    </w:rPr>
  </w:style>
  <w:style w:type="character" w:customStyle="1" w:styleId="TitleChar">
    <w:name w:val="Title Char"/>
    <w:link w:val="Title"/>
    <w:rsid w:val="00A51AE4"/>
    <w:rPr>
      <w:rFonts w:ascii="Times New Roman" w:hAnsi="Times New Roman"/>
      <w:b/>
      <w:bCs/>
    </w:rPr>
  </w:style>
  <w:style w:type="paragraph" w:styleId="Subtitle">
    <w:name w:val="Subtitle"/>
    <w:basedOn w:val="Normal"/>
    <w:link w:val="SubtitleChar"/>
    <w:qFormat/>
    <w:rsid w:val="00A51AE4"/>
    <w:pPr>
      <w:widowControl/>
      <w:tabs>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s>
      <w:overflowPunct w:val="0"/>
      <w:adjustRightInd w:val="0"/>
      <w:spacing w:after="160" w:line="320" w:lineRule="atLeast"/>
      <w:jc w:val="center"/>
      <w:textAlignment w:val="baseline"/>
    </w:pPr>
    <w:rPr>
      <w:rFonts w:ascii="Ottawa" w:hAnsi="Ottawa"/>
      <w:b/>
      <w:szCs w:val="20"/>
      <w:lang w:val="fr-FR" w:eastAsia="id-ID"/>
    </w:rPr>
  </w:style>
  <w:style w:type="character" w:customStyle="1" w:styleId="SubtitleChar">
    <w:name w:val="Subtitle Char"/>
    <w:link w:val="Subtitle"/>
    <w:rsid w:val="00A51AE4"/>
    <w:rPr>
      <w:rFonts w:ascii="Ottawa" w:hAnsi="Ottawa"/>
      <w:b/>
      <w:sz w:val="24"/>
      <w:lang w:val="fr-FR" w:eastAsia="id-ID"/>
    </w:rPr>
  </w:style>
  <w:style w:type="paragraph" w:styleId="NoSpacing">
    <w:name w:val="No Spacing"/>
    <w:basedOn w:val="Normal"/>
    <w:link w:val="NoSpacingChar"/>
    <w:uiPriority w:val="1"/>
    <w:qFormat/>
    <w:rsid w:val="00A51AE4"/>
    <w:pPr>
      <w:widowControl/>
      <w:autoSpaceDE/>
      <w:autoSpaceDN/>
      <w:jc w:val="both"/>
    </w:pPr>
    <w:rPr>
      <w:sz w:val="20"/>
      <w:szCs w:val="20"/>
    </w:rPr>
  </w:style>
  <w:style w:type="character" w:customStyle="1" w:styleId="NoSpacingChar">
    <w:name w:val="No Spacing Char"/>
    <w:link w:val="NoSpacing"/>
    <w:uiPriority w:val="1"/>
    <w:rsid w:val="00A51AE4"/>
    <w:rPr>
      <w:rFonts w:ascii="Times New Roman" w:hAnsi="Times New Roman"/>
    </w:rPr>
  </w:style>
  <w:style w:type="paragraph" w:styleId="Quote">
    <w:name w:val="Quote"/>
    <w:basedOn w:val="Normal"/>
    <w:next w:val="Normal"/>
    <w:link w:val="QuoteChar"/>
    <w:uiPriority w:val="29"/>
    <w:qFormat/>
    <w:rsid w:val="00A51AE4"/>
    <w:pPr>
      <w:widowControl/>
      <w:autoSpaceDE/>
      <w:autoSpaceDN/>
      <w:jc w:val="both"/>
    </w:pPr>
    <w:rPr>
      <w:i/>
      <w:iCs/>
      <w:color w:val="000000"/>
      <w:sz w:val="20"/>
      <w:szCs w:val="20"/>
    </w:rPr>
  </w:style>
  <w:style w:type="character" w:customStyle="1" w:styleId="QuoteChar">
    <w:name w:val="Quote Char"/>
    <w:link w:val="Quote"/>
    <w:uiPriority w:val="29"/>
    <w:rsid w:val="00A51AE4"/>
    <w:rPr>
      <w:rFonts w:ascii="Times New Roman" w:hAnsi="Times New Roman"/>
      <w:i/>
      <w:iCs/>
      <w:color w:val="000000"/>
    </w:rPr>
  </w:style>
  <w:style w:type="paragraph" w:styleId="IntenseQuote">
    <w:name w:val="Intense Quote"/>
    <w:basedOn w:val="Normal"/>
    <w:next w:val="Normal"/>
    <w:link w:val="IntenseQuoteChar"/>
    <w:uiPriority w:val="30"/>
    <w:qFormat/>
    <w:rsid w:val="00A51AE4"/>
    <w:pPr>
      <w:widowControl/>
      <w:pBdr>
        <w:bottom w:val="single" w:sz="4" w:space="4" w:color="4F81BD"/>
      </w:pBdr>
      <w:autoSpaceDE/>
      <w:autoSpaceDN/>
      <w:spacing w:before="200" w:after="280"/>
      <w:ind w:left="936" w:right="936"/>
      <w:jc w:val="both"/>
    </w:pPr>
    <w:rPr>
      <w:b/>
      <w:bCs/>
      <w:i/>
      <w:iCs/>
      <w:color w:val="4F81BD"/>
      <w:sz w:val="20"/>
      <w:szCs w:val="20"/>
    </w:rPr>
  </w:style>
  <w:style w:type="character" w:customStyle="1" w:styleId="IntenseQuoteChar">
    <w:name w:val="Intense Quote Char"/>
    <w:link w:val="IntenseQuote"/>
    <w:uiPriority w:val="30"/>
    <w:rsid w:val="00A51AE4"/>
    <w:rPr>
      <w:rFonts w:ascii="Times New Roman" w:hAnsi="Times New Roman"/>
      <w:b/>
      <w:bCs/>
      <w:i/>
      <w:iCs/>
      <w:color w:val="4F81BD"/>
    </w:rPr>
  </w:style>
  <w:style w:type="character" w:styleId="SubtleEmphasis">
    <w:name w:val="Subtle Emphasis"/>
    <w:uiPriority w:val="19"/>
    <w:qFormat/>
    <w:rsid w:val="00A51AE4"/>
    <w:rPr>
      <w:i/>
      <w:iCs/>
      <w:color w:val="808080"/>
    </w:rPr>
  </w:style>
  <w:style w:type="character" w:styleId="IntenseEmphasis">
    <w:name w:val="Intense Emphasis"/>
    <w:uiPriority w:val="21"/>
    <w:qFormat/>
    <w:rsid w:val="00A51AE4"/>
    <w:rPr>
      <w:b/>
      <w:bCs/>
      <w:i/>
      <w:iCs/>
      <w:color w:val="4F81BD"/>
    </w:rPr>
  </w:style>
  <w:style w:type="character" w:styleId="SubtleReference">
    <w:name w:val="Subtle Reference"/>
    <w:uiPriority w:val="31"/>
    <w:qFormat/>
    <w:rsid w:val="00A51AE4"/>
    <w:rPr>
      <w:smallCaps/>
      <w:color w:val="C0504D"/>
      <w:u w:val="single"/>
    </w:rPr>
  </w:style>
  <w:style w:type="character" w:styleId="IntenseReference">
    <w:name w:val="Intense Reference"/>
    <w:uiPriority w:val="32"/>
    <w:qFormat/>
    <w:rsid w:val="00A51AE4"/>
    <w:rPr>
      <w:b/>
      <w:bCs/>
      <w:smallCaps/>
      <w:color w:val="C0504D"/>
      <w:spacing w:val="5"/>
      <w:u w:val="single"/>
    </w:rPr>
  </w:style>
  <w:style w:type="character" w:styleId="BookTitle">
    <w:name w:val="Book Title"/>
    <w:uiPriority w:val="33"/>
    <w:qFormat/>
    <w:rsid w:val="00A51AE4"/>
    <w:rPr>
      <w:b/>
      <w:bCs/>
      <w:smallCaps/>
      <w:spacing w:val="5"/>
    </w:rPr>
  </w:style>
  <w:style w:type="character" w:customStyle="1" w:styleId="a">
    <w:name w:val="a"/>
    <w:basedOn w:val="DefaultParagraphFont"/>
    <w:rsid w:val="00A51AE4"/>
  </w:style>
  <w:style w:type="paragraph" w:customStyle="1" w:styleId="style82">
    <w:name w:val="style82"/>
    <w:basedOn w:val="Normal"/>
    <w:rsid w:val="00A51AE4"/>
    <w:pPr>
      <w:widowControl/>
      <w:autoSpaceDE/>
      <w:autoSpaceDN/>
      <w:spacing w:before="100" w:beforeAutospacing="1" w:after="100" w:afterAutospacing="1"/>
      <w:jc w:val="both"/>
    </w:pPr>
  </w:style>
  <w:style w:type="character" w:customStyle="1" w:styleId="runinhead">
    <w:name w:val="runinhead"/>
    <w:basedOn w:val="DefaultParagraphFont"/>
    <w:rsid w:val="00A51AE4"/>
  </w:style>
  <w:style w:type="character" w:customStyle="1" w:styleId="definedword">
    <w:name w:val="definedword"/>
    <w:basedOn w:val="DefaultParagraphFont"/>
    <w:rsid w:val="00A51AE4"/>
  </w:style>
  <w:style w:type="character" w:customStyle="1" w:styleId="apple-converted-space">
    <w:name w:val="apple-converted-space"/>
    <w:basedOn w:val="DefaultParagraphFont"/>
    <w:rsid w:val="00A51AE4"/>
  </w:style>
  <w:style w:type="paragraph" w:customStyle="1" w:styleId="TabelJudul">
    <w:name w:val="TabelJudul"/>
    <w:basedOn w:val="TableofFigures"/>
    <w:next w:val="TabelJudul1"/>
    <w:link w:val="TabelJudul1Char"/>
    <w:rsid w:val="00A51AE4"/>
    <w:pPr>
      <w:widowControl/>
      <w:autoSpaceDE/>
      <w:autoSpaceDN/>
      <w:ind w:left="1152" w:hanging="1152"/>
      <w:jc w:val="both"/>
    </w:pPr>
    <w:rPr>
      <w:rFonts w:eastAsia="Calibri"/>
    </w:rPr>
  </w:style>
  <w:style w:type="character" w:customStyle="1" w:styleId="TabelJudul1Char">
    <w:name w:val="TabelJudul1 Char"/>
    <w:link w:val="TabelJudul"/>
    <w:rsid w:val="00A51AE4"/>
    <w:rPr>
      <w:rFonts w:ascii="Times New Roman" w:eastAsia="Calibri" w:hAnsi="Times New Roman"/>
      <w:sz w:val="24"/>
      <w:szCs w:val="24"/>
    </w:rPr>
  </w:style>
  <w:style w:type="character" w:customStyle="1" w:styleId="TableofFiguresChar">
    <w:name w:val="Table of Figures Char"/>
    <w:link w:val="TableofFigures"/>
    <w:uiPriority w:val="99"/>
    <w:rsid w:val="00A51AE4"/>
    <w:rPr>
      <w:rFonts w:ascii="Times New Roman" w:hAnsi="Times New Roman"/>
      <w:sz w:val="24"/>
      <w:szCs w:val="24"/>
    </w:rPr>
  </w:style>
  <w:style w:type="character" w:customStyle="1" w:styleId="container">
    <w:name w:val="container"/>
    <w:basedOn w:val="DefaultParagraphFont"/>
    <w:rsid w:val="00A51AE4"/>
  </w:style>
  <w:style w:type="character" w:customStyle="1" w:styleId="year">
    <w:name w:val="year"/>
    <w:basedOn w:val="DefaultParagraphFont"/>
    <w:rsid w:val="00A51AE4"/>
  </w:style>
  <w:style w:type="character" w:customStyle="1" w:styleId="info">
    <w:name w:val="info"/>
    <w:basedOn w:val="DefaultParagraphFont"/>
    <w:rsid w:val="00A51AE4"/>
  </w:style>
  <w:style w:type="character" w:customStyle="1" w:styleId="volume">
    <w:name w:val="volume"/>
    <w:basedOn w:val="DefaultParagraphFont"/>
    <w:rsid w:val="00A51AE4"/>
  </w:style>
  <w:style w:type="character" w:customStyle="1" w:styleId="issue">
    <w:name w:val="issue"/>
    <w:basedOn w:val="DefaultParagraphFont"/>
    <w:rsid w:val="00A51AE4"/>
  </w:style>
  <w:style w:type="character" w:customStyle="1" w:styleId="publisher">
    <w:name w:val="publisher"/>
    <w:basedOn w:val="DefaultParagraphFont"/>
    <w:rsid w:val="00A51AE4"/>
  </w:style>
  <w:style w:type="character" w:customStyle="1" w:styleId="pages">
    <w:name w:val="pages"/>
    <w:basedOn w:val="DefaultParagraphFont"/>
    <w:rsid w:val="00A51AE4"/>
  </w:style>
  <w:style w:type="character" w:customStyle="1" w:styleId="author">
    <w:name w:val="author"/>
    <w:basedOn w:val="DefaultParagraphFont"/>
    <w:rsid w:val="00A51AE4"/>
  </w:style>
  <w:style w:type="table" w:customStyle="1" w:styleId="TableGrid1">
    <w:name w:val="Table Grid1"/>
    <w:basedOn w:val="TableNormal"/>
    <w:next w:val="TableGrid"/>
    <w:uiPriority w:val="59"/>
    <w:rsid w:val="00D30A37"/>
    <w:rPr>
      <w:rFonts w:eastAsia="Calibri"/>
      <w:sz w:val="22"/>
      <w:szCs w:val="22"/>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300737"/>
    <w:rPr>
      <w:color w:val="800080"/>
      <w:u w:val="single"/>
    </w:rPr>
  </w:style>
  <w:style w:type="paragraph" w:customStyle="1" w:styleId="xl64">
    <w:name w:val="xl64"/>
    <w:basedOn w:val="Normal"/>
    <w:rsid w:val="00300737"/>
    <w:pPr>
      <w:widowControl/>
      <w:autoSpaceDE/>
      <w:autoSpaceDN/>
      <w:spacing w:before="100" w:beforeAutospacing="1" w:after="100" w:afterAutospacing="1"/>
    </w:pPr>
    <w:rPr>
      <w:color w:val="FF0000"/>
    </w:rPr>
  </w:style>
  <w:style w:type="paragraph" w:customStyle="1" w:styleId="xl66">
    <w:name w:val="xl66"/>
    <w:basedOn w:val="Normal"/>
    <w:rsid w:val="00300737"/>
    <w:pPr>
      <w:widowControl/>
      <w:autoSpaceDE/>
      <w:autoSpaceDN/>
      <w:spacing w:before="100" w:beforeAutospacing="1" w:after="100" w:afterAutospacing="1"/>
    </w:pPr>
    <w:rPr>
      <w:color w:val="FF0000"/>
    </w:rPr>
  </w:style>
  <w:style w:type="paragraph" w:customStyle="1" w:styleId="xl65">
    <w:name w:val="xl65"/>
    <w:basedOn w:val="Normal"/>
    <w:rsid w:val="00300737"/>
    <w:pPr>
      <w:widowControl/>
      <w:autoSpaceDE/>
      <w:autoSpaceDN/>
      <w:spacing w:before="100" w:beforeAutospacing="1" w:after="100" w:afterAutospacing="1"/>
    </w:pPr>
    <w:rPr>
      <w:color w:val="FF0000"/>
    </w:rPr>
  </w:style>
  <w:style w:type="paragraph" w:customStyle="1" w:styleId="judulTabel0">
    <w:name w:val="judulTabel"/>
    <w:basedOn w:val="Normal"/>
    <w:link w:val="judulTabelChar0"/>
    <w:qFormat/>
    <w:rsid w:val="00FF2DE7"/>
    <w:pPr>
      <w:spacing w:before="120" w:after="120"/>
      <w:ind w:left="1008" w:hanging="1008"/>
      <w:jc w:val="both"/>
    </w:pPr>
    <w:rPr>
      <w:b/>
      <w:sz w:val="22"/>
      <w:szCs w:val="22"/>
    </w:rPr>
  </w:style>
  <w:style w:type="character" w:customStyle="1" w:styleId="judulTabelChar0">
    <w:name w:val="judulTabel Char"/>
    <w:link w:val="judulTabel0"/>
    <w:rsid w:val="00FF2DE7"/>
    <w:rPr>
      <w:rFonts w:ascii="Times New Roman" w:hAnsi="Times New Roman"/>
      <w:b/>
      <w:sz w:val="22"/>
      <w:szCs w:val="22"/>
    </w:rPr>
  </w:style>
  <w:style w:type="paragraph" w:customStyle="1" w:styleId="abstrakIng">
    <w:name w:val="abstrakIng"/>
    <w:basedOn w:val="BodyText"/>
    <w:qFormat/>
    <w:rsid w:val="00BC69FC"/>
    <w:pPr>
      <w:tabs>
        <w:tab w:val="left" w:pos="24"/>
      </w:tabs>
      <w:spacing w:line="260" w:lineRule="exact"/>
      <w:ind w:firstLine="245"/>
    </w:pPr>
    <w:rPr>
      <w:rFonts w:eastAsia="Batang"/>
      <w:bCs/>
      <w:i/>
      <w:sz w:val="22"/>
      <w:szCs w:val="20"/>
    </w:rPr>
  </w:style>
  <w:style w:type="paragraph" w:customStyle="1" w:styleId="Style1">
    <w:name w:val="Style1"/>
    <w:basedOn w:val="BodyTextIndent"/>
    <w:qFormat/>
    <w:rsid w:val="00BC69FC"/>
    <w:pPr>
      <w:tabs>
        <w:tab w:val="left" w:pos="24"/>
      </w:tabs>
      <w:spacing w:line="240" w:lineRule="auto"/>
      <w:ind w:left="0"/>
    </w:pPr>
    <w:rPr>
      <w:rFonts w:eastAsia="Batang"/>
      <w:spacing w:val="6"/>
      <w:sz w:val="22"/>
    </w:rPr>
  </w:style>
  <w:style w:type="paragraph" w:customStyle="1" w:styleId="daftpustaka">
    <w:name w:val="daftpustaka"/>
    <w:basedOn w:val="Normal"/>
    <w:qFormat/>
    <w:rsid w:val="006A70D8"/>
    <w:pPr>
      <w:widowControl/>
      <w:autoSpaceDE/>
      <w:autoSpaceDN/>
      <w:ind w:left="360" w:right="72" w:hanging="360"/>
      <w:jc w:val="both"/>
    </w:pPr>
    <w:rPr>
      <w:rFonts w:eastAsia="Batang"/>
      <w:sz w:val="22"/>
      <w:szCs w:val="22"/>
    </w:rPr>
  </w:style>
  <w:style w:type="paragraph" w:customStyle="1" w:styleId="Abstract">
    <w:name w:val="Abstract"/>
    <w:qFormat/>
    <w:rsid w:val="00A72AF9"/>
    <w:pPr>
      <w:spacing w:line="480" w:lineRule="auto"/>
      <w:jc w:val="both"/>
    </w:pPr>
    <w:rPr>
      <w:rFonts w:ascii="Times New Roman" w:eastAsia="Calibri" w:hAnsi="Times New Roman"/>
      <w:color w:val="000000"/>
      <w:sz w:val="24"/>
      <w:szCs w:val="22"/>
    </w:rPr>
  </w:style>
  <w:style w:type="paragraph" w:customStyle="1" w:styleId="Text">
    <w:name w:val="Text"/>
    <w:basedOn w:val="Normal"/>
    <w:rsid w:val="0031170E"/>
    <w:pPr>
      <w:spacing w:line="252" w:lineRule="auto"/>
      <w:ind w:firstLine="202"/>
      <w:jc w:val="both"/>
    </w:pPr>
    <w:rPr>
      <w:sz w:val="20"/>
      <w:szCs w:val="20"/>
    </w:rPr>
  </w:style>
  <w:style w:type="paragraph" w:customStyle="1" w:styleId="phmbodytext">
    <w:name w:val="phm_body_text"/>
    <w:basedOn w:val="Normal"/>
    <w:qFormat/>
    <w:rsid w:val="00310E95"/>
    <w:pPr>
      <w:widowControl/>
      <w:autoSpaceDE/>
      <w:autoSpaceDN/>
      <w:spacing w:after="120"/>
      <w:jc w:val="both"/>
    </w:pPr>
    <w:rPr>
      <w:sz w:val="20"/>
    </w:rPr>
  </w:style>
  <w:style w:type="paragraph" w:customStyle="1" w:styleId="phmheading4">
    <w:name w:val="phm_heading4"/>
    <w:basedOn w:val="Normal"/>
    <w:next w:val="phmbodytext"/>
    <w:qFormat/>
    <w:rsid w:val="00310E95"/>
    <w:pPr>
      <w:keepNext/>
      <w:widowControl/>
      <w:autoSpaceDE/>
      <w:autoSpaceDN/>
      <w:spacing w:before="240" w:after="60"/>
      <w:outlineLvl w:val="3"/>
    </w:pPr>
    <w:rPr>
      <w:b/>
      <w:sz w:val="20"/>
    </w:rPr>
  </w:style>
  <w:style w:type="paragraph" w:customStyle="1" w:styleId="phmreference">
    <w:name w:val="phm_reference"/>
    <w:basedOn w:val="Normal"/>
    <w:qFormat/>
    <w:rsid w:val="00310E95"/>
    <w:pPr>
      <w:widowControl/>
      <w:autoSpaceDE/>
      <w:autoSpaceDN/>
      <w:ind w:left="360" w:hanging="360"/>
      <w:jc w:val="both"/>
    </w:pPr>
    <w:rPr>
      <w:sz w:val="20"/>
    </w:rPr>
  </w:style>
  <w:style w:type="table" w:customStyle="1" w:styleId="Calendar2">
    <w:name w:val="Calendar 2"/>
    <w:basedOn w:val="TableNormal"/>
    <w:uiPriority w:val="99"/>
    <w:qFormat/>
    <w:rsid w:val="004E5FC0"/>
    <w:pPr>
      <w:jc w:val="center"/>
    </w:pPr>
    <w:rPr>
      <w:rFonts w:asciiTheme="minorHAnsi" w:eastAsiaTheme="minorEastAsia" w:hAnsiTheme="minorHAnsi" w:cstheme="minorBidi"/>
      <w:sz w:val="28"/>
      <w:szCs w:val="28"/>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F26BD7"/>
    <w:rPr>
      <w:color w:val="605E5C"/>
      <w:shd w:val="clear" w:color="auto" w:fill="E1DFDD"/>
    </w:rPr>
  </w:style>
  <w:style w:type="character" w:styleId="UnresolvedMention">
    <w:name w:val="Unresolved Mention"/>
    <w:basedOn w:val="DefaultParagraphFont"/>
    <w:uiPriority w:val="99"/>
    <w:semiHidden/>
    <w:unhideWhenUsed/>
    <w:rsid w:val="008C4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463128">
      <w:bodyDiv w:val="1"/>
      <w:marLeft w:val="0"/>
      <w:marRight w:val="0"/>
      <w:marTop w:val="0"/>
      <w:marBottom w:val="0"/>
      <w:divBdr>
        <w:top w:val="none" w:sz="0" w:space="0" w:color="auto"/>
        <w:left w:val="none" w:sz="0" w:space="0" w:color="auto"/>
        <w:bottom w:val="none" w:sz="0" w:space="0" w:color="auto"/>
        <w:right w:val="none" w:sz="0" w:space="0" w:color="auto"/>
      </w:divBdr>
    </w:div>
    <w:div w:id="1457411428">
      <w:bodyDiv w:val="1"/>
      <w:marLeft w:val="0"/>
      <w:marRight w:val="0"/>
      <w:marTop w:val="0"/>
      <w:marBottom w:val="0"/>
      <w:divBdr>
        <w:top w:val="none" w:sz="0" w:space="0" w:color="auto"/>
        <w:left w:val="none" w:sz="0" w:space="0" w:color="auto"/>
        <w:bottom w:val="none" w:sz="0" w:space="0" w:color="auto"/>
        <w:right w:val="none" w:sz="0" w:space="0" w:color="auto"/>
      </w:divBdr>
    </w:div>
    <w:div w:id="1629318863">
      <w:bodyDiv w:val="1"/>
      <w:marLeft w:val="0"/>
      <w:marRight w:val="0"/>
      <w:marTop w:val="0"/>
      <w:marBottom w:val="0"/>
      <w:divBdr>
        <w:top w:val="none" w:sz="0" w:space="0" w:color="auto"/>
        <w:left w:val="none" w:sz="0" w:space="0" w:color="auto"/>
        <w:bottom w:val="none" w:sz="0" w:space="0" w:color="auto"/>
        <w:right w:val="none" w:sz="0" w:space="0" w:color="auto"/>
      </w:divBdr>
    </w:div>
    <w:div w:id="181883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16/j.jdeveco.2007.11.004"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0146-6380(84)9012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b.org/publications/impact-macroeconomic-factors-income-inequality-distribution"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nber.org/papers/w10979.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repositorio.unan.edu.ni/2986/1/5624.pdf" TargetMode="External"/><Relationship Id="rId14" Type="http://schemas.openxmlformats.org/officeDocument/2006/relationships/hyperlink" Target="https://doi.org/10.1007/s10888-011-9174-3"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MUNA_files\FOLDER%20BANLIT%20BI%20LANCAR%20JAYA%20ALLAHUAKBAR\DATA%20GR%20NASIONAL%20DAN%20JAWA%20TIMU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8352839417800051"/>
          <c:y val="6.5289442986293383E-2"/>
          <c:w val="0.59228992831119986"/>
          <c:h val="0.79822506561679785"/>
        </c:manualLayout>
      </c:layout>
      <c:lineChart>
        <c:grouping val="standard"/>
        <c:varyColors val="0"/>
        <c:ser>
          <c:idx val="0"/>
          <c:order val="0"/>
          <c:tx>
            <c:strRef>
              <c:f>Sheet1!$B$1</c:f>
              <c:strCache>
                <c:ptCount val="1"/>
                <c:pt idx="0">
                  <c:v>NASIONAL</c:v>
                </c:pt>
              </c:strCache>
            </c:strRef>
          </c:tx>
          <c:marker>
            <c:symbol val="none"/>
          </c:marker>
          <c:dLbls>
            <c:dLbl>
              <c:idx val="0"/>
              <c:layout>
                <c:manualLayout>
                  <c:x val="-2.2222222222222247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EC-405C-8D80-3A1CF2877525}"/>
                </c:ext>
              </c:extLst>
            </c:dLbl>
            <c:dLbl>
              <c:idx val="1"/>
              <c:layout>
                <c:manualLayout>
                  <c:x val="-1.6666666666666684E-2"/>
                  <c:y val="-6.0185185185185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EC-405C-8D80-3A1CF2877525}"/>
                </c:ext>
              </c:extLst>
            </c:dLbl>
            <c:dLbl>
              <c:idx val="2"/>
              <c:layout>
                <c:manualLayout>
                  <c:x val="-3.0555555555555575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EC-405C-8D80-3A1CF2877525}"/>
                </c:ext>
              </c:extLst>
            </c:dLbl>
            <c:dLbl>
              <c:idx val="3"/>
              <c:layout>
                <c:manualLayout>
                  <c:x val="-2.5000000000000001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EC-405C-8D80-3A1CF2877525}"/>
                </c:ext>
              </c:extLst>
            </c:dLbl>
            <c:dLbl>
              <c:idx val="4"/>
              <c:layout>
                <c:manualLayout>
                  <c:x val="-3.0555555555555575E-2"/>
                  <c:y val="-4.16666666666667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AEC-405C-8D80-3A1CF287752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2013</c:v>
                </c:pt>
                <c:pt idx="1">
                  <c:v>2014</c:v>
                </c:pt>
                <c:pt idx="2">
                  <c:v>2015</c:v>
                </c:pt>
                <c:pt idx="3">
                  <c:v>2016</c:v>
                </c:pt>
                <c:pt idx="4">
                  <c:v>2017</c:v>
                </c:pt>
              </c:numCache>
            </c:numRef>
          </c:cat>
          <c:val>
            <c:numRef>
              <c:f>Sheet1!$B$2:$B$6</c:f>
              <c:numCache>
                <c:formatCode>General</c:formatCode>
                <c:ptCount val="5"/>
                <c:pt idx="0">
                  <c:v>0.41000000000000003</c:v>
                </c:pt>
                <c:pt idx="1">
                  <c:v>0.4</c:v>
                </c:pt>
                <c:pt idx="2">
                  <c:v>0.4</c:v>
                </c:pt>
                <c:pt idx="3">
                  <c:v>0.39000000000000007</c:v>
                </c:pt>
                <c:pt idx="4">
                  <c:v>0.39000000000000007</c:v>
                </c:pt>
              </c:numCache>
            </c:numRef>
          </c:val>
          <c:smooth val="0"/>
          <c:extLst>
            <c:ext xmlns:c16="http://schemas.microsoft.com/office/drawing/2014/chart" uri="{C3380CC4-5D6E-409C-BE32-E72D297353CC}">
              <c16:uniqueId val="{00000005-1AEC-405C-8D80-3A1CF2877525}"/>
            </c:ext>
          </c:extLst>
        </c:ser>
        <c:ser>
          <c:idx val="1"/>
          <c:order val="1"/>
          <c:tx>
            <c:strRef>
              <c:f>Sheet1!$C$1</c:f>
              <c:strCache>
                <c:ptCount val="1"/>
                <c:pt idx="0">
                  <c:v>JAWA TIMUR</c:v>
                </c:pt>
              </c:strCache>
            </c:strRef>
          </c:tx>
          <c:marker>
            <c:symbol val="none"/>
          </c:marker>
          <c:dLbls>
            <c:dLbl>
              <c:idx val="0"/>
              <c:layout>
                <c:manualLayout>
                  <c:x val="-6.666666666666668E-2"/>
                  <c:y val="-3.2407407407407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AEC-405C-8D80-3A1CF2877525}"/>
                </c:ext>
              </c:extLst>
            </c:dLbl>
            <c:dLbl>
              <c:idx val="1"/>
              <c:layout>
                <c:manualLayout>
                  <c:x val="-1.1111111111111124E-2"/>
                  <c:y val="4.1666666666666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AEC-405C-8D80-3A1CF2877525}"/>
                </c:ext>
              </c:extLst>
            </c:dLbl>
            <c:dLbl>
              <c:idx val="2"/>
              <c:layout>
                <c:manualLayout>
                  <c:x val="0"/>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AEC-405C-8D80-3A1CF2877525}"/>
                </c:ext>
              </c:extLst>
            </c:dLbl>
            <c:dLbl>
              <c:idx val="3"/>
              <c:layout>
                <c:manualLayout>
                  <c:x val="-1.6666666666666684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AEC-405C-8D80-3A1CF2877525}"/>
                </c:ext>
              </c:extLst>
            </c:dLbl>
            <c:dLbl>
              <c:idx val="4"/>
              <c:layout>
                <c:manualLayout>
                  <c:x val="-2.5000000000000001E-2"/>
                  <c:y val="-3.2407407407407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AEC-405C-8D80-3A1CF287752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2013</c:v>
                </c:pt>
                <c:pt idx="1">
                  <c:v>2014</c:v>
                </c:pt>
                <c:pt idx="2">
                  <c:v>2015</c:v>
                </c:pt>
                <c:pt idx="3">
                  <c:v>2016</c:v>
                </c:pt>
                <c:pt idx="4">
                  <c:v>2017</c:v>
                </c:pt>
              </c:numCache>
            </c:numRef>
          </c:cat>
          <c:val>
            <c:numRef>
              <c:f>Sheet1!$C$2:$C$6</c:f>
              <c:numCache>
                <c:formatCode>General</c:formatCode>
                <c:ptCount val="5"/>
                <c:pt idx="0">
                  <c:v>0.36000000000000004</c:v>
                </c:pt>
                <c:pt idx="1">
                  <c:v>0.37000000000000005</c:v>
                </c:pt>
                <c:pt idx="2">
                  <c:v>0.42000000000000004</c:v>
                </c:pt>
                <c:pt idx="3">
                  <c:v>0.4</c:v>
                </c:pt>
                <c:pt idx="4">
                  <c:v>0.4</c:v>
                </c:pt>
              </c:numCache>
            </c:numRef>
          </c:val>
          <c:smooth val="0"/>
          <c:extLst>
            <c:ext xmlns:c16="http://schemas.microsoft.com/office/drawing/2014/chart" uri="{C3380CC4-5D6E-409C-BE32-E72D297353CC}">
              <c16:uniqueId val="{0000000B-1AEC-405C-8D80-3A1CF2877525}"/>
            </c:ext>
          </c:extLst>
        </c:ser>
        <c:dLbls>
          <c:showLegendKey val="0"/>
          <c:showVal val="0"/>
          <c:showCatName val="0"/>
          <c:showSerName val="0"/>
          <c:showPercent val="0"/>
          <c:showBubbleSize val="0"/>
        </c:dLbls>
        <c:smooth val="0"/>
        <c:axId val="192363136"/>
        <c:axId val="193736704"/>
      </c:lineChart>
      <c:catAx>
        <c:axId val="192363136"/>
        <c:scaling>
          <c:orientation val="minMax"/>
        </c:scaling>
        <c:delete val="0"/>
        <c:axPos val="b"/>
        <c:numFmt formatCode="General" sourceLinked="1"/>
        <c:majorTickMark val="out"/>
        <c:minorTickMark val="none"/>
        <c:tickLblPos val="nextTo"/>
        <c:crossAx val="193736704"/>
        <c:crosses val="autoZero"/>
        <c:auto val="1"/>
        <c:lblAlgn val="ctr"/>
        <c:lblOffset val="100"/>
        <c:noMultiLvlLbl val="0"/>
      </c:catAx>
      <c:valAx>
        <c:axId val="193736704"/>
        <c:scaling>
          <c:orientation val="minMax"/>
          <c:max val="0.42000000000000032"/>
          <c:min val="0.36000000000000032"/>
        </c:scaling>
        <c:delete val="0"/>
        <c:axPos val="l"/>
        <c:majorGridlines/>
        <c:numFmt formatCode="General" sourceLinked="1"/>
        <c:majorTickMark val="out"/>
        <c:minorTickMark val="none"/>
        <c:tickLblPos val="nextTo"/>
        <c:crossAx val="192363136"/>
        <c:crosses val="autoZero"/>
        <c:crossBetween val="between"/>
      </c:valAx>
    </c:plotArea>
    <c:legend>
      <c:legendPos val="r"/>
      <c:layout>
        <c:manualLayout>
          <c:xMode val="edge"/>
          <c:yMode val="edge"/>
          <c:x val="0.76748599522074668"/>
          <c:y val="0.41628280839895054"/>
          <c:w val="0.23251399825021873"/>
          <c:h val="0.16743438320209994"/>
        </c:manualLayout>
      </c:layout>
      <c:overlay val="0"/>
    </c:legend>
    <c:plotVisOnly val="1"/>
    <c:dispBlanksAs val="gap"/>
    <c:showDLblsOverMax val="0"/>
  </c:chart>
  <c:spPr>
    <a:ln>
      <a:solidFill>
        <a:schemeClr val="tx1"/>
      </a:solid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0.04511</cdr:x>
      <cdr:y>0.27901</cdr:y>
    </cdr:from>
    <cdr:to>
      <cdr:x>0.09515</cdr:x>
      <cdr:y>0.59131</cdr:y>
    </cdr:to>
    <cdr:sp macro="" textlink="">
      <cdr:nvSpPr>
        <cdr:cNvPr id="3" name="Rectangle 2"/>
        <cdr:cNvSpPr/>
      </cdr:nvSpPr>
      <cdr:spPr>
        <a:xfrm xmlns:a="http://schemas.openxmlformats.org/drawingml/2006/main" rot="16200000">
          <a:off x="18378" y="865680"/>
          <a:ext cx="717894" cy="269233"/>
        </a:xfrm>
        <a:prstGeom xmlns:a="http://schemas.openxmlformats.org/drawingml/2006/main" prst="rect">
          <a:avLst/>
        </a:prstGeom>
        <a:ln xmlns:a="http://schemas.openxmlformats.org/drawingml/2006/main" w="3175">
          <a:solidFill>
            <a:schemeClr val="tx1"/>
          </a:solidFill>
        </a:ln>
      </cdr:spPr>
      <cdr:style>
        <a:lnRef xmlns:a="http://schemas.openxmlformats.org/drawingml/2006/main" idx="2">
          <a:schemeClr val="dk1"/>
        </a:lnRef>
        <a:fillRef xmlns:a="http://schemas.openxmlformats.org/drawingml/2006/main" idx="100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lgn="ctr"/>
          <a:r>
            <a:rPr lang="en-US"/>
            <a:t>percent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EE43B-E8EB-4D94-8CCF-3940EE82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3667</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24526</CharactersWithSpaces>
  <SharedDoc>false</SharedDoc>
  <HLinks>
    <vt:vector size="48" baseType="variant">
      <vt:variant>
        <vt:i4>18</vt:i4>
      </vt:variant>
      <vt:variant>
        <vt:i4>42</vt:i4>
      </vt:variant>
      <vt:variant>
        <vt:i4>0</vt:i4>
      </vt:variant>
      <vt:variant>
        <vt:i4>5</vt:i4>
      </vt:variant>
      <vt:variant>
        <vt:lpwstr>https://doi.org/10.1007/s10888-011-9174-3</vt:lpwstr>
      </vt:variant>
      <vt:variant>
        <vt:lpwstr/>
      </vt:variant>
      <vt:variant>
        <vt:i4>4915230</vt:i4>
      </vt:variant>
      <vt:variant>
        <vt:i4>39</vt:i4>
      </vt:variant>
      <vt:variant>
        <vt:i4>0</vt:i4>
      </vt:variant>
      <vt:variant>
        <vt:i4>5</vt:i4>
      </vt:variant>
      <vt:variant>
        <vt:lpwstr>https://doi.org/10.1016/j.jdeveco.2007.11.004</vt:lpwstr>
      </vt:variant>
      <vt:variant>
        <vt:lpwstr/>
      </vt:variant>
      <vt:variant>
        <vt:i4>8126500</vt:i4>
      </vt:variant>
      <vt:variant>
        <vt:i4>36</vt:i4>
      </vt:variant>
      <vt:variant>
        <vt:i4>0</vt:i4>
      </vt:variant>
      <vt:variant>
        <vt:i4>5</vt:i4>
      </vt:variant>
      <vt:variant>
        <vt:lpwstr>http://kominfo.jatimprov.go.id/read/umum/agustus-2017-tingkat-pengangguran-terbuka-jatim-turun-0-21-persen</vt:lpwstr>
      </vt:variant>
      <vt:variant>
        <vt:lpwstr/>
      </vt:variant>
      <vt:variant>
        <vt:i4>852040</vt:i4>
      </vt:variant>
      <vt:variant>
        <vt:i4>33</vt:i4>
      </vt:variant>
      <vt:variant>
        <vt:i4>0</vt:i4>
      </vt:variant>
      <vt:variant>
        <vt:i4>5</vt:i4>
      </vt:variant>
      <vt:variant>
        <vt:lpwstr>https://doi.org/10.1016/0146-6380(84)90122-0</vt:lpwstr>
      </vt:variant>
      <vt:variant>
        <vt:lpwstr/>
      </vt:variant>
      <vt:variant>
        <vt:i4>2490479</vt:i4>
      </vt:variant>
      <vt:variant>
        <vt:i4>30</vt:i4>
      </vt:variant>
      <vt:variant>
        <vt:i4>0</vt:i4>
      </vt:variant>
      <vt:variant>
        <vt:i4>5</vt:i4>
      </vt:variant>
      <vt:variant>
        <vt:lpwstr>https://doi.org/10.2307/2230043</vt:lpwstr>
      </vt:variant>
      <vt:variant>
        <vt:lpwstr/>
      </vt:variant>
      <vt:variant>
        <vt:i4>4980802</vt:i4>
      </vt:variant>
      <vt:variant>
        <vt:i4>27</vt:i4>
      </vt:variant>
      <vt:variant>
        <vt:i4>0</vt:i4>
      </vt:variant>
      <vt:variant>
        <vt:i4>5</vt:i4>
      </vt:variant>
      <vt:variant>
        <vt:lpwstr>https://www.adb.org/publications/impact-macroeconomic-factors-income-inequality-distribution</vt:lpwstr>
      </vt:variant>
      <vt:variant>
        <vt:lpwstr/>
      </vt:variant>
      <vt:variant>
        <vt:i4>1572952</vt:i4>
      </vt:variant>
      <vt:variant>
        <vt:i4>24</vt:i4>
      </vt:variant>
      <vt:variant>
        <vt:i4>0</vt:i4>
      </vt:variant>
      <vt:variant>
        <vt:i4>5</vt:i4>
      </vt:variant>
      <vt:variant>
        <vt:lpwstr>https://www.bi.go.id/id/statistik/metadata/SSKI/Documents/Indikator Keuangan Inklusif.pdf</vt:lpwstr>
      </vt:variant>
      <vt:variant>
        <vt:lpwstr/>
      </vt:variant>
      <vt:variant>
        <vt:i4>3407968</vt:i4>
      </vt:variant>
      <vt:variant>
        <vt:i4>21</vt:i4>
      </vt:variant>
      <vt:variant>
        <vt:i4>0</vt:i4>
      </vt:variant>
      <vt:variant>
        <vt:i4>5</vt:i4>
      </vt:variant>
      <vt:variant>
        <vt:lpwstr>http://repositorio.unan.edu.ni/2986/1/5624.pdf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Junaidi</dc:creator>
  <cp:lastModifiedBy>Lenovo Ideacentre</cp:lastModifiedBy>
  <cp:revision>4</cp:revision>
  <cp:lastPrinted>2015-03-26T06:52:00Z</cp:lastPrinted>
  <dcterms:created xsi:type="dcterms:W3CDTF">2020-12-24T03:08:00Z</dcterms:created>
  <dcterms:modified xsi:type="dcterms:W3CDTF">2020-12-26T02:38:00Z</dcterms:modified>
</cp:coreProperties>
</file>